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ind w:firstLine="643"/>
        <w:jc w:val="center"/>
        <w:rPr>
          <w:rFonts w:ascii="仿宋_GB2312" w:hAnsi="仿宋_GB2312" w:eastAsia="仿宋_GB2312" w:cs="仿宋_GB2312"/>
          <w:b/>
          <w:sz w:val="32"/>
          <w:szCs w:val="32"/>
        </w:rPr>
      </w:pPr>
    </w:p>
    <w:p>
      <w:pPr>
        <w:snapToGrid w:val="0"/>
        <w:spacing w:line="560" w:lineRule="exact"/>
        <w:ind w:firstLine="643"/>
        <w:jc w:val="center"/>
        <w:rPr>
          <w:rFonts w:ascii="仿宋_GB2312" w:hAnsi="仿宋_GB2312" w:eastAsia="仿宋_GB2312" w:cs="仿宋_GB2312"/>
          <w:b/>
          <w:sz w:val="32"/>
          <w:szCs w:val="32"/>
        </w:rPr>
      </w:pPr>
    </w:p>
    <w:p>
      <w:pPr>
        <w:spacing w:line="560" w:lineRule="exact"/>
        <w:jc w:val="center"/>
        <w:rPr>
          <w:rFonts w:ascii="仿宋_GB2312" w:hAnsi="仿宋_GB2312" w:eastAsia="仿宋_GB2312" w:cs="仿宋_GB2312"/>
          <w:sz w:val="32"/>
          <w:szCs w:val="32"/>
        </w:rPr>
      </w:pPr>
    </w:p>
    <w:p>
      <w:pPr>
        <w:spacing w:line="560" w:lineRule="exact"/>
        <w:jc w:val="center"/>
        <w:rPr>
          <w:rFonts w:ascii="仿宋_GB2312" w:hAnsi="仿宋_GB2312" w:eastAsia="仿宋_GB2312" w:cs="仿宋_GB2312"/>
          <w:sz w:val="32"/>
          <w:szCs w:val="32"/>
        </w:rPr>
      </w:pPr>
    </w:p>
    <w:p>
      <w:pPr>
        <w:spacing w:line="560" w:lineRule="exact"/>
        <w:jc w:val="center"/>
        <w:rPr>
          <w:rFonts w:ascii="仿宋_GB2312" w:hAnsi="仿宋_GB2312" w:eastAsia="仿宋_GB2312" w:cs="仿宋_GB2312"/>
          <w:sz w:val="32"/>
          <w:szCs w:val="32"/>
        </w:rPr>
      </w:pPr>
    </w:p>
    <w:p>
      <w:pPr>
        <w:spacing w:line="480" w:lineRule="auto"/>
        <w:ind w:firstLine="88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团体标准《企业安全风险分级管控和隐患排查治理双重预防机制信息化平台建设规范》（征求意见稿）编制说明</w:t>
      </w:r>
    </w:p>
    <w:p>
      <w:pPr>
        <w:pStyle w:val="17"/>
        <w:snapToGrid w:val="0"/>
        <w:spacing w:line="360" w:lineRule="auto"/>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p>
    <w:p>
      <w:pPr>
        <w:pStyle w:val="17"/>
        <w:snapToGrid w:val="0"/>
        <w:spacing w:line="560" w:lineRule="exact"/>
        <w:ind w:firstLine="0" w:firstLineChars="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02</w:t>
      </w:r>
      <w:r>
        <w:rPr>
          <w:rFonts w:hint="eastAsia" w:ascii="仿宋_GB2312" w:hAnsi="仿宋_GB2312" w:eastAsia="仿宋_GB2312" w:cs="仿宋_GB2312"/>
          <w:sz w:val="32"/>
          <w:szCs w:val="32"/>
        </w:rPr>
        <w:t>4年5月</w:t>
      </w:r>
    </w:p>
    <w:p>
      <w:pPr>
        <w:widowControl/>
        <w:jc w:val="left"/>
        <w:rPr>
          <w:rFonts w:ascii="仿宋_GB2312" w:hAnsi="仿宋_GB2312" w:eastAsia="仿宋_GB2312" w:cs="仿宋_GB2312"/>
          <w:kern w:val="0"/>
          <w:sz w:val="32"/>
          <w:szCs w:val="32"/>
        </w:rPr>
      </w:pPr>
      <w:r>
        <w:rPr>
          <w:rFonts w:ascii="仿宋_GB2312" w:hAnsi="仿宋_GB2312" w:eastAsia="仿宋_GB2312" w:cs="仿宋_GB2312"/>
          <w:sz w:val="32"/>
          <w:szCs w:val="32"/>
        </w:rPr>
        <w:br w:type="page"/>
      </w:r>
    </w:p>
    <w:p>
      <w:pPr>
        <w:pStyle w:val="17"/>
        <w:snapToGrid w:val="0"/>
        <w:spacing w:line="560" w:lineRule="exact"/>
        <w:ind w:firstLine="0" w:firstLineChars="0"/>
        <w:jc w:val="center"/>
        <w:rPr>
          <w:rFonts w:ascii="仿宋_GB2312" w:hAnsi="仿宋_GB2312" w:eastAsia="仿宋_GB2312" w:cs="仿宋_GB2312"/>
          <w:color w:val="0000FF"/>
          <w:sz w:val="32"/>
          <w:szCs w:val="32"/>
        </w:rPr>
        <w:sectPr>
          <w:pgSz w:w="11906" w:h="16838"/>
          <w:pgMar w:top="1440" w:right="1800" w:bottom="1440" w:left="1800" w:header="851" w:footer="992" w:gutter="0"/>
          <w:pgNumType w:fmt="upperRoman" w:start="1" w:chapStyle="1"/>
          <w:cols w:space="425" w:num="1"/>
          <w:docGrid w:type="lines" w:linePitch="312" w:charSpace="0"/>
        </w:sectPr>
      </w:pPr>
    </w:p>
    <w:p>
      <w:pPr>
        <w:pStyle w:val="17"/>
        <w:snapToGrid w:val="0"/>
        <w:spacing w:line="560" w:lineRule="exact"/>
        <w:ind w:firstLine="0" w:firstLineChars="0"/>
        <w:jc w:val="center"/>
        <w:rPr>
          <w:rFonts w:ascii="仿宋_GB2312" w:hAnsi="仿宋_GB2312" w:eastAsia="仿宋_GB2312" w:cs="仿宋_GB2312"/>
          <w:b/>
          <w:color w:val="0000FF"/>
          <w:sz w:val="32"/>
          <w:szCs w:val="32"/>
        </w:rPr>
      </w:pPr>
    </w:p>
    <w:p>
      <w:pPr>
        <w:pStyle w:val="17"/>
        <w:snapToGrid w:val="0"/>
        <w:spacing w:line="560" w:lineRule="exact"/>
        <w:ind w:firstLine="0" w:firstLineChars="0"/>
        <w:jc w:val="center"/>
        <w:rPr>
          <w:rFonts w:ascii="仿宋_GB2312" w:hAnsi="仿宋_GB2312" w:eastAsia="仿宋_GB2312" w:cs="仿宋_GB2312"/>
          <w:b/>
          <w:sz w:val="44"/>
          <w:szCs w:val="44"/>
        </w:rPr>
      </w:pPr>
      <w:r>
        <w:rPr>
          <w:rFonts w:hint="eastAsia" w:ascii="仿宋_GB2312" w:hAnsi="仿宋_GB2312" w:eastAsia="仿宋_GB2312" w:cs="仿宋_GB2312"/>
          <w:b/>
          <w:sz w:val="44"/>
          <w:szCs w:val="44"/>
        </w:rPr>
        <w:t>目    录</w:t>
      </w:r>
    </w:p>
    <w:p>
      <w:pPr>
        <w:pStyle w:val="17"/>
        <w:snapToGrid w:val="0"/>
        <w:spacing w:line="560" w:lineRule="exact"/>
        <w:ind w:firstLine="0" w:firstLineChars="0"/>
        <w:jc w:val="center"/>
        <w:rPr>
          <w:rFonts w:ascii="仿宋_GB2312" w:hAnsi="仿宋_GB2312" w:eastAsia="仿宋_GB2312" w:cs="仿宋_GB2312"/>
          <w:b/>
          <w:color w:val="0000FF"/>
          <w:sz w:val="32"/>
          <w:szCs w:val="32"/>
        </w:rPr>
      </w:pPr>
    </w:p>
    <w:p>
      <w:pPr>
        <w:pStyle w:val="17"/>
        <w:snapToGrid w:val="0"/>
        <w:spacing w:line="560" w:lineRule="exact"/>
        <w:ind w:firstLine="0" w:firstLineChars="0"/>
        <w:jc w:val="center"/>
        <w:rPr>
          <w:rFonts w:ascii="仿宋_GB2312" w:hAnsi="仿宋_GB2312" w:eastAsia="仿宋_GB2312" w:cs="仿宋_GB2312"/>
          <w:b/>
          <w:color w:val="0000FF"/>
          <w:sz w:val="28"/>
          <w:szCs w:val="28"/>
        </w:rPr>
      </w:pPr>
    </w:p>
    <w:p>
      <w:pPr>
        <w:pStyle w:val="10"/>
        <w:tabs>
          <w:tab w:val="right" w:leader="dot" w:pos="8306"/>
        </w:tabs>
        <w:rPr>
          <w:rFonts w:ascii="仿宋" w:hAnsi="仿宋" w:eastAsia="仿宋" w:cs="仿宋"/>
          <w:sz w:val="32"/>
          <w:szCs w:val="32"/>
        </w:rPr>
      </w:pPr>
      <w:r>
        <w:rPr>
          <w:rFonts w:hint="eastAsia" w:ascii="仿宋" w:hAnsi="仿宋" w:eastAsia="仿宋" w:cs="仿宋"/>
          <w:color w:val="0000FF"/>
          <w:sz w:val="32"/>
          <w:szCs w:val="32"/>
        </w:rPr>
        <w:fldChar w:fldCharType="begin"/>
      </w:r>
      <w:r>
        <w:rPr>
          <w:rFonts w:hint="eastAsia" w:ascii="仿宋" w:hAnsi="仿宋" w:eastAsia="仿宋" w:cs="仿宋"/>
          <w:color w:val="0000FF"/>
          <w:sz w:val="32"/>
          <w:szCs w:val="32"/>
        </w:rPr>
        <w:instrText xml:space="preserve"> TOC \o "1-3" \h \z \u </w:instrText>
      </w:r>
      <w:r>
        <w:rPr>
          <w:rFonts w:hint="eastAsia" w:ascii="仿宋" w:hAnsi="仿宋" w:eastAsia="仿宋" w:cs="仿宋"/>
          <w:color w:val="0000FF"/>
          <w:sz w:val="32"/>
          <w:szCs w:val="32"/>
        </w:rPr>
        <w:fldChar w:fldCharType="separate"/>
      </w:r>
      <w:r>
        <w:fldChar w:fldCharType="begin"/>
      </w:r>
      <w:r>
        <w:instrText xml:space="preserve"> HYPERLINK \l "_Toc19979" </w:instrText>
      </w:r>
      <w:r>
        <w:fldChar w:fldCharType="separate"/>
      </w:r>
      <w:r>
        <w:rPr>
          <w:rFonts w:hint="eastAsia" w:ascii="仿宋" w:hAnsi="仿宋" w:eastAsia="仿宋" w:cs="仿宋"/>
          <w:sz w:val="32"/>
          <w:szCs w:val="32"/>
        </w:rPr>
        <w:t>一、标准来源</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_Toc19979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"_Toc17091" </w:instrText>
      </w:r>
      <w:r>
        <w:fldChar w:fldCharType="separate"/>
      </w:r>
      <w:r>
        <w:rPr>
          <w:rFonts w:hint="eastAsia" w:ascii="仿宋" w:hAnsi="仿宋" w:eastAsia="仿宋" w:cs="仿宋"/>
          <w:sz w:val="32"/>
          <w:szCs w:val="32"/>
        </w:rPr>
        <w:t>二、标准</w:t>
      </w:r>
      <w:r>
        <w:rPr>
          <w:rFonts w:hint="eastAsia" w:ascii="仿宋" w:hAnsi="仿宋" w:eastAsia="仿宋" w:cs="仿宋"/>
          <w:bCs/>
          <w:sz w:val="32"/>
          <w:szCs w:val="32"/>
        </w:rPr>
        <w:t>编制</w:t>
      </w:r>
      <w:r>
        <w:rPr>
          <w:rFonts w:hint="eastAsia" w:ascii="仿宋" w:hAnsi="仿宋" w:eastAsia="仿宋" w:cs="仿宋"/>
          <w:sz w:val="32"/>
          <w:szCs w:val="32"/>
        </w:rPr>
        <w:t>背景及目的意义</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_Toc17091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"_Toc17154" </w:instrText>
      </w:r>
      <w:r>
        <w:fldChar w:fldCharType="separate"/>
      </w:r>
      <w:r>
        <w:rPr>
          <w:rFonts w:hint="eastAsia" w:ascii="仿宋" w:hAnsi="仿宋" w:eastAsia="仿宋" w:cs="仿宋"/>
          <w:sz w:val="32"/>
          <w:szCs w:val="32"/>
        </w:rPr>
        <w:t>三、项目</w:t>
      </w:r>
      <w:r>
        <w:rPr>
          <w:rFonts w:hint="eastAsia" w:ascii="仿宋" w:hAnsi="仿宋" w:eastAsia="仿宋" w:cs="仿宋"/>
          <w:bCs/>
          <w:sz w:val="32"/>
          <w:szCs w:val="32"/>
        </w:rPr>
        <w:t>编制</w:t>
      </w:r>
      <w:r>
        <w:rPr>
          <w:rFonts w:hint="eastAsia" w:ascii="仿宋" w:hAnsi="仿宋" w:eastAsia="仿宋" w:cs="仿宋"/>
          <w:sz w:val="32"/>
          <w:szCs w:val="32"/>
        </w:rPr>
        <w:t>过程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_Toc17154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"_Toc1414" </w:instrText>
      </w:r>
      <w:r>
        <w:fldChar w:fldCharType="separate"/>
      </w:r>
      <w:r>
        <w:rPr>
          <w:rFonts w:hint="eastAsia" w:ascii="仿宋" w:hAnsi="仿宋" w:eastAsia="仿宋" w:cs="仿宋"/>
          <w:bCs/>
          <w:sz w:val="32"/>
          <w:szCs w:val="32"/>
        </w:rPr>
        <w:t>四、标准制定原则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_Toc1414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"_Toc6374" </w:instrText>
      </w:r>
      <w:r>
        <w:fldChar w:fldCharType="separate"/>
      </w:r>
      <w:r>
        <w:rPr>
          <w:rFonts w:hint="eastAsia" w:ascii="仿宋" w:hAnsi="仿宋" w:eastAsia="仿宋" w:cs="仿宋"/>
          <w:sz w:val="32"/>
          <w:szCs w:val="32"/>
        </w:rPr>
        <w:t>五、标准主要章节内容及确定依据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_Toc6374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"_Toc8179" </w:instrText>
      </w:r>
      <w:r>
        <w:fldChar w:fldCharType="separate"/>
      </w:r>
      <w:r>
        <w:rPr>
          <w:rFonts w:hint="eastAsia" w:ascii="仿宋" w:hAnsi="仿宋" w:eastAsia="仿宋" w:cs="仿宋"/>
          <w:bCs/>
          <w:sz w:val="32"/>
          <w:szCs w:val="32"/>
        </w:rPr>
        <w:t>六、国内外同类标准制修订情况及与法律法规、强制性标准关系</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_Toc8179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"_Toc2657" </w:instrText>
      </w:r>
      <w:r>
        <w:fldChar w:fldCharType="separate"/>
      </w:r>
      <w:r>
        <w:rPr>
          <w:rFonts w:hint="eastAsia" w:ascii="仿宋" w:hAnsi="仿宋" w:eastAsia="仿宋" w:cs="仿宋"/>
          <w:sz w:val="32"/>
          <w:szCs w:val="32"/>
        </w:rPr>
        <w:t>七、重大分歧意见的处理经过和依据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_Toc2657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"_Toc21237" </w:instrText>
      </w:r>
      <w:r>
        <w:fldChar w:fldCharType="separate"/>
      </w:r>
      <w:r>
        <w:rPr>
          <w:rFonts w:hint="eastAsia" w:ascii="仿宋" w:hAnsi="仿宋" w:eastAsia="仿宋" w:cs="仿宋"/>
          <w:sz w:val="32"/>
          <w:szCs w:val="32"/>
        </w:rPr>
        <w:t>八、对标准性质的建议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_Toc21237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"_Toc19494" </w:instrText>
      </w:r>
      <w:r>
        <w:fldChar w:fldCharType="separate"/>
      </w:r>
      <w:r>
        <w:rPr>
          <w:rFonts w:hint="eastAsia" w:ascii="仿宋" w:hAnsi="仿宋" w:eastAsia="仿宋" w:cs="仿宋"/>
          <w:sz w:val="32"/>
          <w:szCs w:val="32"/>
        </w:rPr>
        <w:t>九、贯彻标准的措施建议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_Toc19494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0"/>
        <w:tabs>
          <w:tab w:val="right" w:leader="dot" w:pos="8306"/>
        </w:tabs>
        <w:rPr>
          <w:rFonts w:ascii="仿宋" w:hAnsi="仿宋" w:eastAsia="仿宋" w:cs="仿宋"/>
          <w:sz w:val="32"/>
          <w:szCs w:val="32"/>
        </w:rPr>
      </w:pPr>
      <w:r>
        <w:fldChar w:fldCharType="begin"/>
      </w:r>
      <w:r>
        <w:instrText xml:space="preserve"> HYPERLINK \l "_Toc24829" </w:instrText>
      </w:r>
      <w:r>
        <w:fldChar w:fldCharType="separate"/>
      </w:r>
      <w:r>
        <w:rPr>
          <w:rFonts w:hint="eastAsia" w:ascii="仿宋" w:hAnsi="仿宋" w:eastAsia="仿宋" w:cs="仿宋"/>
          <w:sz w:val="32"/>
          <w:szCs w:val="32"/>
        </w:rPr>
        <w:t>十、自我承诺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_Toc24829 \h </w:instrText>
      </w:r>
      <w:r>
        <w:rPr>
          <w:rFonts w:hint="eastAsia" w:ascii="仿宋" w:hAnsi="仿宋" w:eastAsia="仿宋" w:cs="仿宋"/>
          <w:sz w:val="32"/>
          <w:szCs w:val="32"/>
        </w:rPr>
        <w:fldChar w:fldCharType="separate"/>
      </w:r>
      <w:r>
        <w:rPr>
          <w:rFonts w:hint="eastAsia" w:ascii="仿宋" w:hAnsi="仿宋" w:eastAsia="仿宋" w:cs="仿宋"/>
          <w:sz w:val="32"/>
          <w:szCs w:val="32"/>
        </w:rPr>
        <w:t>11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spacing w:line="560" w:lineRule="exact"/>
        <w:rPr>
          <w:rFonts w:ascii="仿宋_GB2312" w:hAnsi="仿宋_GB2312" w:eastAsia="仿宋_GB2312" w:cs="仿宋_GB2312"/>
          <w:b/>
          <w:color w:val="0000FF"/>
          <w:sz w:val="28"/>
          <w:szCs w:val="28"/>
        </w:rPr>
      </w:pPr>
      <w:r>
        <w:rPr>
          <w:rFonts w:hint="eastAsia" w:ascii="仿宋" w:hAnsi="仿宋" w:eastAsia="仿宋" w:cs="仿宋"/>
          <w:color w:val="0000FF"/>
          <w:sz w:val="32"/>
          <w:szCs w:val="32"/>
        </w:rPr>
        <w:fldChar w:fldCharType="end"/>
      </w:r>
      <w:r>
        <w:rPr>
          <w:rFonts w:hint="eastAsia" w:ascii="仿宋_GB2312" w:hAnsi="仿宋_GB2312" w:eastAsia="仿宋_GB2312" w:cs="仿宋_GB2312"/>
          <w:b/>
          <w:color w:val="0000FF"/>
          <w:sz w:val="28"/>
          <w:szCs w:val="28"/>
        </w:rPr>
        <w:t xml:space="preserve"> </w:t>
      </w:r>
    </w:p>
    <w:p>
      <w:pPr>
        <w:widowControl/>
        <w:ind w:firstLine="643"/>
        <w:jc w:val="left"/>
        <w:rPr>
          <w:rFonts w:ascii="仿宋_GB2312" w:hAnsi="仿宋_GB2312" w:eastAsia="仿宋_GB2312" w:cs="仿宋_GB2312"/>
          <w:b/>
          <w:color w:val="0000FF"/>
          <w:sz w:val="32"/>
          <w:szCs w:val="32"/>
        </w:rPr>
      </w:pPr>
      <w:r>
        <w:rPr>
          <w:rFonts w:ascii="仿宋_GB2312" w:hAnsi="仿宋_GB2312" w:eastAsia="仿宋_GB2312" w:cs="仿宋_GB2312"/>
          <w:b/>
          <w:color w:val="0000FF"/>
          <w:sz w:val="32"/>
          <w:szCs w:val="32"/>
        </w:rPr>
        <w:br w:type="page"/>
      </w:r>
    </w:p>
    <w:p>
      <w:pPr>
        <w:pStyle w:val="2"/>
        <w:keepNext/>
        <w:shd w:val="clear" w:color="auto" w:fill="FFFFFF"/>
        <w:spacing w:before="100" w:after="100"/>
        <w:jc w:val="both"/>
      </w:pPr>
      <w:bookmarkStart w:id="0" w:name="_Toc19979"/>
      <w:r>
        <w:rPr>
          <w:rFonts w:hint="eastAsia"/>
        </w:rPr>
        <w:t>一、标准来源</w:t>
      </w:r>
      <w:bookmarkEnd w:id="0"/>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1月，根据广西应急管理协会《关于拟制(修)订团体标准项目的公示》文件，由广西安全生产科学研究院提出并牵头起草的团体标准《企业安全风险分级管控和隐患排查治理双重预防机制信息化平台建设规范》（项目序号：2）获批立项。</w:t>
      </w:r>
    </w:p>
    <w:p>
      <w:pPr>
        <w:pStyle w:val="2"/>
        <w:keepNext/>
        <w:shd w:val="clear" w:color="auto" w:fill="FFFFFF"/>
        <w:spacing w:before="100" w:after="100"/>
        <w:jc w:val="both"/>
      </w:pPr>
      <w:bookmarkStart w:id="1" w:name="_Toc17091"/>
      <w:r>
        <w:rPr>
          <w:rFonts w:hint="eastAsia"/>
        </w:rPr>
        <w:t>二、标准</w:t>
      </w:r>
      <w:r>
        <w:rPr>
          <w:rFonts w:hint="eastAsia" w:ascii="Times New Roman" w:hAnsi="Times New Roman" w:cs="Times New Roman"/>
          <w:bCs/>
          <w:szCs w:val="44"/>
        </w:rPr>
        <w:t>编制</w:t>
      </w:r>
      <w:r>
        <w:rPr>
          <w:rFonts w:hint="eastAsia"/>
        </w:rPr>
        <w:t>背景及目的意义</w:t>
      </w:r>
      <w:bookmarkEnd w:id="1"/>
    </w:p>
    <w:p>
      <w:pPr>
        <w:spacing w:line="520" w:lineRule="exact"/>
        <w:ind w:firstLine="640" w:firstLineChars="200"/>
        <w:rPr>
          <w:rFonts w:ascii="仿宋" w:hAnsi="仿宋" w:eastAsia="仿宋" w:cs="Times New Roman"/>
          <w:sz w:val="32"/>
          <w:szCs w:val="32"/>
          <w:shd w:val="clear" w:color="auto" w:fill="FFFFFF"/>
        </w:rPr>
      </w:pPr>
      <w:r>
        <w:rPr>
          <w:rFonts w:hint="eastAsia" w:ascii="仿宋" w:hAnsi="仿宋" w:eastAsia="仿宋" w:cs="Times New Roman"/>
          <w:sz w:val="32"/>
          <w:szCs w:val="32"/>
          <w:shd w:val="clear" w:color="auto" w:fill="FFFFFF"/>
        </w:rPr>
        <w:t>国务院安委会办公室《关于实施遏制重特大事故工作指南构建双重预防机制的意见》（安委办〔2016〕11号）指出，要“推进事故预防工作科学化、信息化、标准化”“强化智能化、信息化技术的应用”“要督促企业加强内部智能化、信息化管理平台建设，将所有辨识出的风险和排查出的隐患全部录入管理平台，逐步实现对企业风险管控和隐患排查治理情况的信息化管理”；广西壮族自治区应急管理厅广西壮族自治区发展和改革委员会《广西应急体系建设“十四五”规划》中要求，要加快推进“双重预防体系”标准规范的制定，同时本标准的立项也是广西壮族自治区应急管理厅开展“标准化建设年”工作的有力支撑，将有助于指导我区企业规范构建双重预防机制信息化平台建设，也是当下预防和化解重特大生产安全事故的有力抓手和重要保障。</w:t>
      </w:r>
    </w:p>
    <w:p>
      <w:pPr>
        <w:spacing w:line="520" w:lineRule="exact"/>
        <w:ind w:firstLine="640" w:firstLineChars="200"/>
        <w:rPr>
          <w:rFonts w:ascii="仿宋" w:hAnsi="仿宋" w:eastAsia="仿宋" w:cs="Times New Roman"/>
          <w:sz w:val="32"/>
          <w:szCs w:val="32"/>
          <w:shd w:val="clear" w:color="auto" w:fill="FFFFFF"/>
        </w:rPr>
      </w:pPr>
      <w:r>
        <w:rPr>
          <w:rFonts w:hint="eastAsia" w:ascii="仿宋" w:hAnsi="仿宋" w:eastAsia="仿宋" w:cs="Times New Roman"/>
          <w:sz w:val="32"/>
          <w:szCs w:val="32"/>
          <w:shd w:val="clear" w:color="auto" w:fill="FFFFFF"/>
        </w:rPr>
        <w:t>制定本标准旨在贯彻落实党中央关于安全生产工作的重大决策部署，引导企业开展和完善安全风险分级管控和隐患排查治理双重预防机制信息化平台建设，提高企业双重预防机制建设水平，遏制生产安全重特大事故的发生。</w:t>
      </w:r>
    </w:p>
    <w:p>
      <w:pPr>
        <w:spacing w:line="520" w:lineRule="exact"/>
        <w:ind w:firstLine="640" w:firstLineChars="200"/>
        <w:rPr>
          <w:rFonts w:ascii="仿宋" w:hAnsi="仿宋" w:eastAsia="仿宋" w:cs="Times New Roman"/>
          <w:sz w:val="32"/>
          <w:szCs w:val="32"/>
          <w:shd w:val="clear" w:color="auto" w:fill="FFFFFF"/>
        </w:rPr>
      </w:pPr>
      <w:r>
        <w:rPr>
          <w:rFonts w:hint="eastAsia" w:ascii="仿宋" w:hAnsi="仿宋" w:eastAsia="仿宋" w:cs="Times New Roman"/>
          <w:sz w:val="32"/>
          <w:szCs w:val="32"/>
          <w:shd w:val="clear" w:color="auto" w:fill="FFFFFF"/>
        </w:rPr>
        <w:t>目前广西暂无企业双重预防机制建设信息化平台建设的相关标准，缺乏指导广西企业建设双重预防机制信息化平台建设的通用性文件，同时企业双重预防机制建设信息化平台建设的质量良莠不齐，亟需通过制定企业双重预防机制信息化平台建设标准化文件，提高企业双重预防机制建设的水平。</w:t>
      </w:r>
    </w:p>
    <w:p>
      <w:pPr>
        <w:spacing w:line="520" w:lineRule="exact"/>
        <w:ind w:firstLine="640" w:firstLineChars="200"/>
        <w:rPr>
          <w:rFonts w:ascii="仿宋" w:hAnsi="仿宋" w:eastAsia="仿宋" w:cs="Times New Roman"/>
          <w:sz w:val="32"/>
          <w:szCs w:val="32"/>
          <w:shd w:val="clear" w:color="auto" w:fill="FFFFFF"/>
        </w:rPr>
      </w:pPr>
      <w:r>
        <w:rPr>
          <w:rFonts w:hint="eastAsia" w:ascii="仿宋" w:hAnsi="仿宋" w:eastAsia="仿宋" w:cs="Times New Roman"/>
          <w:sz w:val="32"/>
          <w:szCs w:val="32"/>
          <w:shd w:val="clear" w:color="auto" w:fill="FFFFFF"/>
        </w:rPr>
        <w:t>最近几年开展的各类安全检查发现，企业在双重预防机制建设及运行过程中存在一些典型问题：一是风险辨识不全，涉氨重大安全风险未辨识出来，方法应用不当；二是没有根据不同作业的风险级别，明确风险分析的开展方式；三是拿到风险分析报告后，没有跟进制定风险管控措施；四是没有按层级开展风险管控，采取笼统管理抓不住要害；五是风险管控中存在流程不清晰、责任不明确、执行不到位的情况；六是隐患排查治理过程没有形成闭环管理；七是缺少信息化平台的支持。</w:t>
      </w:r>
    </w:p>
    <w:p>
      <w:pPr>
        <w:spacing w:line="520" w:lineRule="exact"/>
        <w:ind w:firstLine="640" w:firstLineChars="200"/>
        <w:rPr>
          <w:rFonts w:ascii="仿宋" w:hAnsi="仿宋" w:eastAsia="仿宋" w:cs="Times New Roman"/>
          <w:sz w:val="32"/>
          <w:szCs w:val="32"/>
          <w:shd w:val="clear" w:color="auto" w:fill="FFFFFF"/>
        </w:rPr>
      </w:pPr>
      <w:r>
        <w:rPr>
          <w:rFonts w:hint="eastAsia" w:ascii="仿宋" w:hAnsi="仿宋" w:eastAsia="仿宋" w:cs="Times New Roman"/>
          <w:sz w:val="32"/>
          <w:szCs w:val="32"/>
          <w:shd w:val="clear" w:color="auto" w:fill="FFFFFF"/>
        </w:rPr>
        <w:t>综上所述，团体标准《企业安全风险分级管控和隐患排查治理双重预防机制信息化平台建设规范》立项十分有必要。</w:t>
      </w:r>
    </w:p>
    <w:p>
      <w:pPr>
        <w:pStyle w:val="2"/>
        <w:keepNext/>
        <w:shd w:val="clear" w:color="auto" w:fill="FFFFFF"/>
        <w:spacing w:before="100" w:after="100"/>
        <w:jc w:val="both"/>
      </w:pPr>
      <w:bookmarkStart w:id="2" w:name="_Toc17154"/>
      <w:r>
        <w:rPr>
          <w:rFonts w:hint="eastAsia"/>
        </w:rPr>
        <w:t>三、项目</w:t>
      </w:r>
      <w:r>
        <w:rPr>
          <w:rFonts w:hint="eastAsia" w:ascii="Times New Roman" w:hAnsi="Times New Roman" w:cs="Times New Roman"/>
          <w:bCs/>
          <w:szCs w:val="44"/>
        </w:rPr>
        <w:t>编制</w:t>
      </w:r>
      <w:r>
        <w:rPr>
          <w:rFonts w:hint="eastAsia"/>
        </w:rPr>
        <w:t>过程</w:t>
      </w:r>
      <w:bookmarkEnd w:id="2"/>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标准编制工作主要分三个阶段：</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（一）第一阶段：成立编制工作组，确定工作方案。</w:t>
      </w:r>
    </w:p>
    <w:p>
      <w:pPr>
        <w:spacing w:line="560" w:lineRule="exact"/>
        <w:ind w:firstLine="640" w:firstLineChars="200"/>
        <w:rPr>
          <w:rFonts w:ascii="仿宋" w:hAnsi="仿宋" w:eastAsia="仿宋" w:cs="仿宋_GB2312"/>
          <w:sz w:val="32"/>
          <w:szCs w:val="32"/>
        </w:rPr>
      </w:pPr>
      <w:r>
        <w:rPr>
          <w:rFonts w:hint="eastAsia" w:ascii="仿宋" w:hAnsi="仿宋" w:eastAsia="仿宋"/>
          <w:sz w:val="32"/>
          <w:szCs w:val="32"/>
        </w:rPr>
        <w:t>由广西安全生产科学研究院组织相关起草单位明确专人组成编制工作组，编制组全体成员共同研究讨论，明确各项具体工作，制定标准起草工作方案。</w:t>
      </w:r>
      <w:r>
        <w:rPr>
          <w:rFonts w:hint="eastAsia" w:ascii="仿宋" w:hAnsi="仿宋" w:eastAsia="仿宋" w:cs="仿宋_GB2312"/>
          <w:sz w:val="32"/>
          <w:szCs w:val="32"/>
        </w:rPr>
        <w:t>编制小组收集、整理区内外有关企业双重预防机制信息化平台建设的标准规范、文献等相关资料，经认真分析、研究，最终确定《企业安全风险分级管控和隐患排查治理双重预防机制信息化平台建设规范》团体标准草案框架和标准要素。</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（二）第二阶段：制定标准草案，完成标准立项。</w:t>
      </w:r>
    </w:p>
    <w:p>
      <w:pPr>
        <w:spacing w:line="560" w:lineRule="exact"/>
        <w:ind w:firstLine="640" w:firstLineChars="200"/>
        <w:rPr>
          <w:rFonts w:ascii="黑体" w:hAnsi="黑体" w:eastAsia="黑体"/>
          <w:color w:val="0000FF"/>
          <w:sz w:val="32"/>
          <w:szCs w:val="32"/>
        </w:rPr>
      </w:pPr>
      <w:r>
        <w:rPr>
          <w:rFonts w:hint="eastAsia" w:ascii="仿宋" w:hAnsi="仿宋" w:eastAsia="仿宋" w:cs="Times New Roman"/>
          <w:sz w:val="32"/>
          <w:szCs w:val="32"/>
          <w:shd w:val="clear" w:color="auto" w:fill="FFFFFF"/>
        </w:rPr>
        <w:t>结合我区对企业双重预防机制信息化平台建设的最新要求，按照GB/T 1.1—2020《标准化工作导则 第1部分：标准化文件的结构和起草规则》规定，并参考《</w:t>
      </w:r>
      <w:r>
        <w:rPr>
          <w:rFonts w:ascii="仿宋" w:hAnsi="仿宋" w:eastAsia="仿宋" w:cs="Times New Roman"/>
          <w:sz w:val="32"/>
          <w:szCs w:val="32"/>
          <w:shd w:val="clear" w:color="auto" w:fill="FFFFFF"/>
        </w:rPr>
        <w:t>企业双重预防机制信息管理平台建设规范》</w:t>
      </w:r>
      <w:r>
        <w:rPr>
          <w:rFonts w:hint="eastAsia" w:ascii="仿宋" w:hAnsi="仿宋" w:eastAsia="仿宋" w:cs="Times New Roman"/>
          <w:sz w:val="32"/>
          <w:szCs w:val="32"/>
          <w:shd w:val="clear" w:color="auto" w:fill="FFFFFF"/>
        </w:rPr>
        <w:t>（</w:t>
      </w:r>
      <w:r>
        <w:rPr>
          <w:rFonts w:ascii="仿宋" w:hAnsi="仿宋" w:eastAsia="仿宋" w:cs="Times New Roman"/>
          <w:sz w:val="32"/>
          <w:szCs w:val="32"/>
          <w:shd w:val="clear" w:color="auto" w:fill="FFFFFF"/>
        </w:rPr>
        <w:t>DB13/T 5740-2023</w:t>
      </w:r>
      <w:r>
        <w:rPr>
          <w:rFonts w:hint="eastAsia" w:ascii="仿宋" w:hAnsi="仿宋" w:eastAsia="仿宋" w:cs="Times New Roman"/>
          <w:sz w:val="32"/>
          <w:szCs w:val="32"/>
          <w:shd w:val="clear" w:color="auto" w:fill="FFFFFF"/>
        </w:rPr>
        <w:t>）、《企业双重预防机制信息系统建设指南》（DB23/T 2826—2021）等文件，经编制组全体成员共同研究讨论，起草完成团体标准</w:t>
      </w:r>
      <w:r>
        <w:rPr>
          <w:rFonts w:hint="eastAsia" w:ascii="仿宋" w:hAnsi="仿宋" w:eastAsia="仿宋"/>
          <w:sz w:val="32"/>
          <w:szCs w:val="32"/>
        </w:rPr>
        <w:t>《</w:t>
      </w:r>
      <w:r>
        <w:rPr>
          <w:rFonts w:hint="eastAsia" w:ascii="仿宋" w:hAnsi="仿宋" w:eastAsia="仿宋" w:cs="仿宋_GB2312"/>
          <w:sz w:val="32"/>
          <w:szCs w:val="32"/>
        </w:rPr>
        <w:t>企业安全风险分级管控和隐患排查治理双重预防机制信息化平台建设规范</w:t>
      </w:r>
      <w:r>
        <w:rPr>
          <w:rFonts w:hint="eastAsia" w:ascii="仿宋" w:hAnsi="仿宋" w:eastAsia="仿宋"/>
          <w:sz w:val="32"/>
          <w:szCs w:val="32"/>
        </w:rPr>
        <w:t>》（草案）。随后推动完成团体标准申报工作，2</w:t>
      </w:r>
      <w:r>
        <w:rPr>
          <w:rFonts w:ascii="仿宋" w:hAnsi="仿宋" w:eastAsia="仿宋"/>
          <w:sz w:val="32"/>
          <w:szCs w:val="32"/>
        </w:rPr>
        <w:t>02</w:t>
      </w:r>
      <w:r>
        <w:rPr>
          <w:rFonts w:hint="eastAsia" w:ascii="仿宋" w:hAnsi="仿宋" w:eastAsia="仿宋"/>
          <w:sz w:val="32"/>
          <w:szCs w:val="32"/>
        </w:rPr>
        <w:t>4年1月正式立项。</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（三）第三阶段：开展调研，完成标准征求意见稿。</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2024年1-3月，标准编制组先后到区内企业开展实地调研。通过多地走访调研，深入了解企业管理和部门安全监管的难点、痛点、重点，对企业双重预防机制信息化平台建设中的薄弱环节进行了交流探讨，为标准草案的修改完善提供了宝贵的建议。</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2023年4月，标准编制组组织多次内部讨论会，同时咨询多位专家意见和建议，尤其是在功能要求方面，明确提出了在线监测预警管理模块和职业卫生管理模块。编制组根据反馈意见对草案进一步地修改，在最终形成征求意见稿。</w:t>
      </w:r>
    </w:p>
    <w:p>
      <w:pPr>
        <w:pStyle w:val="2"/>
        <w:keepNext/>
        <w:shd w:val="clear" w:color="auto" w:fill="FFFFFF"/>
        <w:spacing w:before="100" w:after="100"/>
        <w:jc w:val="both"/>
        <w:rPr>
          <w:rFonts w:ascii="Times New Roman" w:hAnsi="Times New Roman" w:cs="Times New Roman"/>
          <w:bCs/>
          <w:szCs w:val="44"/>
        </w:rPr>
      </w:pPr>
      <w:bookmarkStart w:id="3" w:name="_Toc1414"/>
      <w:r>
        <w:rPr>
          <w:rFonts w:hint="eastAsia" w:ascii="Times New Roman" w:hAnsi="Times New Roman" w:cs="Times New Roman"/>
          <w:bCs/>
          <w:szCs w:val="44"/>
        </w:rPr>
        <w:t>四、标准制定原则</w:t>
      </w:r>
      <w:bookmarkEnd w:id="3"/>
    </w:p>
    <w:p>
      <w:pPr>
        <w:spacing w:line="560" w:lineRule="exact"/>
        <w:ind w:firstLine="640" w:firstLineChars="200"/>
        <w:rPr>
          <w:rFonts w:ascii="仿宋" w:hAnsi="仿宋" w:eastAsia="仿宋"/>
          <w:sz w:val="32"/>
          <w:szCs w:val="32"/>
        </w:rPr>
      </w:pPr>
      <w:r>
        <w:rPr>
          <w:rFonts w:hint="eastAsia" w:ascii="仿宋" w:hAnsi="仿宋" w:eastAsia="仿宋"/>
          <w:sz w:val="32"/>
          <w:szCs w:val="32"/>
        </w:rPr>
        <w:t>（一）实用性原则</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本标准是在充分收集相关资料和文献，分析国内关于企业</w:t>
      </w:r>
      <w:r>
        <w:rPr>
          <w:rFonts w:hint="eastAsia" w:ascii="仿宋" w:hAnsi="仿宋" w:eastAsia="仿宋" w:cs="仿宋_GB2312"/>
          <w:sz w:val="32"/>
          <w:szCs w:val="32"/>
        </w:rPr>
        <w:t>安全生产风险分级管控和隐患排查治理双重预防机制信息化平台建设的</w:t>
      </w:r>
      <w:r>
        <w:rPr>
          <w:rFonts w:hint="eastAsia" w:ascii="仿宋" w:hAnsi="仿宋" w:eastAsia="仿宋"/>
          <w:sz w:val="32"/>
          <w:szCs w:val="32"/>
        </w:rPr>
        <w:t>相关文件要求，坚持与现行有关强制性标准协调一致，结合起草单位多年开展双控实践经验，开展标准起草工作。标准内容符合当前双控发展方向和行业需求，标准条款切实可行，具有较强的实用性和可操作性。</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（二）协调性原则</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本标准编写过程中充分尊重知识产权，同时注重与相关法律法规的衔接，在内容上与现行法律法规、强制性标准协调一致。</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（三）规范性原则</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本标准参照GB/T 1.1—2020《标准化工作导则  第1部分：标准化文件的结构和起草规则》的规定起草，标准涉及企业</w:t>
      </w:r>
      <w:r>
        <w:rPr>
          <w:rFonts w:hint="eastAsia" w:ascii="仿宋" w:hAnsi="仿宋" w:eastAsia="仿宋" w:cs="仿宋_GB2312"/>
          <w:sz w:val="32"/>
          <w:szCs w:val="32"/>
        </w:rPr>
        <w:t>双控信息化平台建设</w:t>
      </w:r>
      <w:r>
        <w:rPr>
          <w:rFonts w:hint="eastAsia" w:ascii="仿宋" w:hAnsi="仿宋" w:eastAsia="仿宋"/>
          <w:sz w:val="32"/>
          <w:szCs w:val="32"/>
        </w:rPr>
        <w:t>的技术与管理要求等内容表达准确，引用数据来源真实可靠，指标科学、论证充分，标准质量有保证。</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（四）前瞻性原则</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在充分考虑当前企业双控信息化平台建设现状和未来需求的基础上，标准条款规定的主要技术内容尽可能与我国现有水平相一致，避免起点过低或过高，在标准中还体现了个别特色性和先进性条款，为企业双控信息化平台建设重要指导作用。</w:t>
      </w:r>
    </w:p>
    <w:p>
      <w:pPr>
        <w:pStyle w:val="2"/>
        <w:keepNext/>
        <w:shd w:val="clear" w:color="auto" w:fill="FFFFFF"/>
        <w:spacing w:before="100" w:after="100"/>
        <w:jc w:val="both"/>
        <w:rPr>
          <w:rFonts w:ascii="仿宋_GB2312" w:hAnsi="仿宋_GB2312" w:eastAsia="仿宋_GB2312" w:cs="仿宋_GB2312"/>
          <w:b/>
          <w:bCs/>
          <w:szCs w:val="32"/>
        </w:rPr>
      </w:pPr>
      <w:bookmarkStart w:id="4" w:name="_Toc6374"/>
      <w:r>
        <w:rPr>
          <w:rFonts w:hint="eastAsia"/>
        </w:rPr>
        <w:t>五、标准主要章节内容及确定依据</w:t>
      </w:r>
      <w:bookmarkEnd w:id="4"/>
    </w:p>
    <w:p>
      <w:pPr>
        <w:spacing w:line="560" w:lineRule="exact"/>
        <w:ind w:firstLine="640" w:firstLineChars="200"/>
        <w:rPr>
          <w:rFonts w:ascii="仿宋" w:hAnsi="仿宋" w:eastAsia="仿宋"/>
          <w:color w:val="FF0000"/>
          <w:sz w:val="32"/>
          <w:szCs w:val="32"/>
        </w:rPr>
      </w:pPr>
      <w:r>
        <w:rPr>
          <w:rFonts w:hint="eastAsia" w:ascii="仿宋" w:hAnsi="仿宋" w:eastAsia="仿宋"/>
          <w:sz w:val="32"/>
          <w:szCs w:val="32"/>
        </w:rPr>
        <w:t>本标准主要内容有范围、术语和定义、总体要求、总体架构、平台功能要</w:t>
      </w:r>
      <w:r>
        <w:rPr>
          <w:rFonts w:hint="eastAsia" w:ascii="仿宋" w:hAnsi="仿宋" w:eastAsia="仿宋" w:cs="仿宋"/>
          <w:sz w:val="32"/>
          <w:szCs w:val="32"/>
        </w:rPr>
        <w:t>求、设备设施要求共7个部分。标准内容主要参考《安全生产法》《企业安全风险分级管控与隐患排查治理双重预防机制建设规范》（T/GXYX 0001-2023）等文件及专家提出的意见。</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（一）范围</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本文件界定了安全风险分级管控和隐患排查治理双重预防机制信息化平台建设的基本要求，并规定了安全风险分级管控和隐患排查治理双重预防机制信息化平台的建设内容。</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本文件适用于广西行政区域内安全风险分级管控和隐患排查治理双重预防机制信息化平台的建设。</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技术内容参考依据是：《标准化工作导则  第1部分：标准化文件的结构和起草规则》（GB/T 1.1—2020）关于范围的编写及专家提出的意见。</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（二）术语和定义</w:t>
      </w:r>
    </w:p>
    <w:p>
      <w:pPr>
        <w:spacing w:line="560" w:lineRule="exact"/>
        <w:ind w:firstLine="640" w:firstLineChars="200"/>
        <w:rPr>
          <w:rFonts w:ascii="仿宋" w:hAnsi="仿宋" w:eastAsia="仿宋"/>
          <w:color w:val="FF0000"/>
          <w:sz w:val="32"/>
          <w:szCs w:val="32"/>
        </w:rPr>
      </w:pPr>
      <w:r>
        <w:rPr>
          <w:rFonts w:hint="eastAsia" w:ascii="仿宋" w:hAnsi="仿宋" w:eastAsia="仿宋" w:cs="仿宋"/>
          <w:sz w:val="32"/>
          <w:szCs w:val="32"/>
        </w:rPr>
        <w:t>企业安全风险分级管控与隐患排查治理双重预防机制建设规范》（T/GXYX 0001-2023）界定的术语和定义适用于本文件。</w:t>
      </w:r>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（三）总体要求</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主要规定了双重预防机制信息化平台的主要原则和基本要求。</w:t>
      </w:r>
    </w:p>
    <w:p>
      <w:pPr>
        <w:spacing w:line="560" w:lineRule="exact"/>
        <w:ind w:firstLine="640" w:firstLineChars="200"/>
        <w:rPr>
          <w:rFonts w:ascii="仿宋" w:hAnsi="仿宋" w:eastAsia="仿宋"/>
          <w:color w:val="FF0000"/>
          <w:sz w:val="32"/>
          <w:szCs w:val="32"/>
        </w:rPr>
      </w:pPr>
      <w:r>
        <w:rPr>
          <w:rFonts w:hint="eastAsia" w:ascii="仿宋" w:hAnsi="仿宋" w:eastAsia="仿宋"/>
          <w:sz w:val="32"/>
          <w:szCs w:val="32"/>
        </w:rPr>
        <w:t>主要依据：《安全生</w:t>
      </w:r>
      <w:r>
        <w:rPr>
          <w:rFonts w:hint="eastAsia" w:ascii="仿宋" w:hAnsi="仿宋" w:eastAsia="仿宋" w:cs="仿宋"/>
          <w:sz w:val="32"/>
          <w:szCs w:val="32"/>
        </w:rPr>
        <w:t>产法》第四条“生产经营单位必须</w:t>
      </w:r>
      <w:r>
        <w:rPr>
          <w:rFonts w:ascii="仿宋" w:hAnsi="仿宋" w:eastAsia="仿宋" w:cs="仿宋"/>
          <w:sz w:val="32"/>
          <w:szCs w:val="32"/>
        </w:rPr>
        <w:t>…</w:t>
      </w:r>
      <w:r>
        <w:rPr>
          <w:rFonts w:hint="eastAsia" w:ascii="仿宋" w:hAnsi="仿宋" w:eastAsia="仿宋" w:cs="仿宋"/>
          <w:sz w:val="32"/>
          <w:szCs w:val="32"/>
        </w:rPr>
        <w:t>加强安全生产标准化、</w:t>
      </w:r>
      <w:r>
        <w:rPr>
          <w:rFonts w:hint="eastAsia" w:ascii="仿宋" w:hAnsi="仿宋" w:eastAsia="仿宋" w:cs="仿宋"/>
          <w:b/>
          <w:bCs/>
          <w:sz w:val="32"/>
          <w:szCs w:val="32"/>
        </w:rPr>
        <w:t>信息化建设</w:t>
      </w:r>
      <w:r>
        <w:rPr>
          <w:rFonts w:hint="eastAsia" w:ascii="仿宋" w:hAnsi="仿宋" w:eastAsia="仿宋" w:cs="仿宋"/>
          <w:sz w:val="32"/>
          <w:szCs w:val="32"/>
        </w:rPr>
        <w:t>，</w:t>
      </w:r>
      <w:r>
        <w:rPr>
          <w:rFonts w:hint="eastAsia" w:ascii="仿宋" w:hAnsi="仿宋" w:eastAsia="仿宋" w:cs="仿宋"/>
          <w:b/>
          <w:bCs/>
          <w:sz w:val="32"/>
          <w:szCs w:val="32"/>
        </w:rPr>
        <w:t>构建安全风险分级管控和隐患排查治理双重预防机制</w:t>
      </w:r>
      <w:r>
        <w:rPr>
          <w:rFonts w:hint="eastAsia" w:ascii="仿宋" w:hAnsi="仿宋" w:eastAsia="仿宋" w:cs="仿宋"/>
          <w:sz w:val="32"/>
          <w:szCs w:val="32"/>
        </w:rPr>
        <w:t>，健全风险防范化解机制，提高安全生产水平，确保安全生产。”第二十一条“生产经营单位的主要负责人对本单位安全生产工作负有下列职责: （五）</w:t>
      </w:r>
      <w:r>
        <w:rPr>
          <w:rFonts w:hint="eastAsia" w:ascii="仿宋" w:hAnsi="仿宋" w:eastAsia="仿宋" w:cs="仿宋"/>
          <w:b/>
          <w:bCs/>
          <w:sz w:val="32"/>
          <w:szCs w:val="32"/>
        </w:rPr>
        <w:t>组织建立并落实安全风险分级管控和隐患排查治理双重预防工作机制</w:t>
      </w:r>
      <w:r>
        <w:rPr>
          <w:rFonts w:hint="eastAsia" w:ascii="仿宋" w:hAnsi="仿宋" w:eastAsia="仿宋" w:cs="仿宋"/>
          <w:sz w:val="32"/>
          <w:szCs w:val="32"/>
        </w:rPr>
        <w:t>，督促、检查本单位的安全生产工作，及时消除生产安全事故隐患”。</w:t>
      </w:r>
    </w:p>
    <w:p>
      <w:pPr>
        <w:numPr>
          <w:ilvl w:val="255"/>
          <w:numId w:val="0"/>
        </w:numPr>
        <w:spacing w:line="560" w:lineRule="exact"/>
        <w:ind w:firstLine="643" w:firstLineChars="200"/>
        <w:jc w:val="left"/>
        <w:rPr>
          <w:rFonts w:ascii="仿宋" w:hAnsi="仿宋" w:eastAsia="楷体"/>
          <w:sz w:val="32"/>
          <w:szCs w:val="32"/>
        </w:rPr>
      </w:pPr>
      <w:r>
        <w:rPr>
          <w:rFonts w:hint="eastAsia" w:ascii="楷体" w:hAnsi="楷体" w:eastAsia="楷体" w:cs="仿宋_GB2312"/>
          <w:b/>
          <w:sz w:val="32"/>
          <w:szCs w:val="32"/>
        </w:rPr>
        <w:t>（四）总体架构</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主要规定了企业双重预防机制信息化的平台架构、综合展现层、业务应用层、应用支撑层、数据资源层、基础设施层。</w:t>
      </w:r>
    </w:p>
    <w:p>
      <w:pPr>
        <w:numPr>
          <w:ilvl w:val="255"/>
          <w:numId w:val="0"/>
        </w:numPr>
        <w:spacing w:line="560" w:lineRule="exact"/>
        <w:ind w:firstLine="420" w:firstLineChars="200"/>
        <w:jc w:val="left"/>
        <w:rPr>
          <w:rFonts w:hint="eastAsia" w:ascii="仿宋" w:hAnsi="仿宋" w:eastAsia="仿宋"/>
          <w:sz w:val="32"/>
          <w:szCs w:val="32"/>
        </w:rPr>
      </w:pPr>
      <w:r>
        <w:drawing>
          <wp:anchor distT="0" distB="0" distL="114300" distR="114300" simplePos="0" relativeHeight="251659264" behindDoc="0" locked="0" layoutInCell="1" allowOverlap="1">
            <wp:simplePos x="0" y="0"/>
            <wp:positionH relativeFrom="margin">
              <wp:posOffset>-13335</wp:posOffset>
            </wp:positionH>
            <wp:positionV relativeFrom="margin">
              <wp:posOffset>4076700</wp:posOffset>
            </wp:positionV>
            <wp:extent cx="5391785" cy="2505075"/>
            <wp:effectExtent l="0" t="0" r="0"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91785" cy="2505075"/>
                    </a:xfrm>
                    <a:prstGeom prst="rect">
                      <a:avLst/>
                    </a:prstGeom>
                  </pic:spPr>
                </pic:pic>
              </a:graphicData>
            </a:graphic>
          </wp:anchor>
        </w:drawing>
      </w:r>
      <w:r>
        <w:rPr>
          <w:rFonts w:hint="eastAsia" w:ascii="仿宋" w:hAnsi="仿宋" w:eastAsia="仿宋"/>
          <w:sz w:val="32"/>
          <w:szCs w:val="32"/>
        </w:rPr>
        <w:t>主要依据是广西应安联信息技术有限公司现有的应急安全管理云平台架构。</w:t>
      </w:r>
      <w:bookmarkStart w:id="10" w:name="_GoBack"/>
      <w:bookmarkEnd w:id="10"/>
    </w:p>
    <w:p>
      <w:pPr>
        <w:numPr>
          <w:ilvl w:val="255"/>
          <w:numId w:val="0"/>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（五）平台功能要求</w:t>
      </w:r>
    </w:p>
    <w:p>
      <w:pPr>
        <w:ind w:firstLine="640" w:firstLineChars="200"/>
        <w:jc w:val="left"/>
        <w:rPr>
          <w:rFonts w:ascii="仿宋" w:hAnsi="仿宋" w:eastAsia="仿宋" w:cs="仿宋"/>
          <w:color w:val="FF0000"/>
          <w:sz w:val="32"/>
          <w:szCs w:val="32"/>
        </w:rPr>
      </w:pPr>
      <w:r>
        <w:rPr>
          <w:rFonts w:hint="eastAsia" w:ascii="仿宋" w:hAnsi="仿宋" w:eastAsia="仿宋"/>
          <w:sz w:val="32"/>
          <w:szCs w:val="32"/>
        </w:rPr>
        <w:t>主要规定了双重预防机制信息化平台中企业基础信息管理模块、安全风险分级管控体系管理模块、隐患排查治理体系管理模块的相关要求。</w:t>
      </w:r>
    </w:p>
    <w:p>
      <w:pPr>
        <w:ind w:firstLine="640" w:firstLineChars="200"/>
        <w:rPr>
          <w:rFonts w:ascii="仿宋" w:hAnsi="仿宋" w:eastAsia="仿宋"/>
          <w:sz w:val="32"/>
          <w:szCs w:val="32"/>
        </w:rPr>
      </w:pPr>
      <w:r>
        <w:rPr>
          <w:rFonts w:hint="eastAsia" w:ascii="仿宋" w:hAnsi="仿宋" w:eastAsia="仿宋"/>
          <w:sz w:val="32"/>
          <w:szCs w:val="32"/>
        </w:rPr>
        <w:t>主要依据是《安全生产法》第四条“</w:t>
      </w:r>
      <w:r>
        <w:rPr>
          <w:rFonts w:hint="eastAsia" w:ascii="仿宋" w:hAnsi="仿宋" w:eastAsia="仿宋" w:cs="仿宋"/>
          <w:sz w:val="32"/>
          <w:szCs w:val="32"/>
        </w:rPr>
        <w:t>生产经营单位必须</w:t>
      </w:r>
      <w:r>
        <w:rPr>
          <w:rFonts w:ascii="仿宋" w:hAnsi="仿宋" w:eastAsia="仿宋" w:cs="仿宋"/>
          <w:sz w:val="32"/>
          <w:szCs w:val="32"/>
        </w:rPr>
        <w:t>…</w:t>
      </w:r>
      <w:r>
        <w:rPr>
          <w:rFonts w:hint="eastAsia" w:ascii="仿宋" w:hAnsi="仿宋" w:eastAsia="仿宋" w:cs="仿宋"/>
          <w:sz w:val="32"/>
          <w:szCs w:val="32"/>
        </w:rPr>
        <w:t>加强安全生产标准化、</w:t>
      </w:r>
      <w:r>
        <w:rPr>
          <w:rFonts w:hint="eastAsia" w:ascii="仿宋" w:hAnsi="仿宋" w:eastAsia="仿宋" w:cs="仿宋"/>
          <w:b/>
          <w:bCs/>
          <w:sz w:val="32"/>
          <w:szCs w:val="32"/>
        </w:rPr>
        <w:t>信息化建设</w:t>
      </w:r>
      <w:r>
        <w:rPr>
          <w:rFonts w:hint="eastAsia" w:ascii="仿宋" w:hAnsi="仿宋" w:eastAsia="仿宋" w:cs="仿宋"/>
          <w:sz w:val="32"/>
          <w:szCs w:val="32"/>
        </w:rPr>
        <w:t>，</w:t>
      </w:r>
      <w:r>
        <w:rPr>
          <w:rFonts w:hint="eastAsia" w:ascii="仿宋" w:hAnsi="仿宋" w:eastAsia="仿宋" w:cs="仿宋"/>
          <w:b/>
          <w:bCs/>
          <w:sz w:val="32"/>
          <w:szCs w:val="32"/>
        </w:rPr>
        <w:t>构建安全风险分级管控和隐患排查治理双重预防机制</w:t>
      </w:r>
      <w:r>
        <w:rPr>
          <w:rFonts w:hint="eastAsia" w:ascii="仿宋" w:hAnsi="仿宋" w:eastAsia="仿宋" w:cs="仿宋"/>
          <w:sz w:val="32"/>
          <w:szCs w:val="32"/>
        </w:rPr>
        <w:t>，健全风险防范化解机制，提高安全生产水平，确保安全生产。</w:t>
      </w:r>
      <w:r>
        <w:rPr>
          <w:rFonts w:hint="eastAsia" w:ascii="仿宋" w:hAnsi="仿宋" w:eastAsia="仿宋"/>
          <w:sz w:val="32"/>
          <w:szCs w:val="32"/>
        </w:rPr>
        <w:t>” 国务院安委会办公室《安全生产治本攻坚三年行动方案（2024--2026）》（安委办〔20</w:t>
      </w:r>
      <w:r>
        <w:rPr>
          <w:rFonts w:ascii="仿宋" w:hAnsi="仿宋" w:eastAsia="仿宋"/>
          <w:sz w:val="32"/>
          <w:szCs w:val="32"/>
        </w:rPr>
        <w:t>24</w:t>
      </w: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号）指出“开展安全科技支撑和工程治理行动”“</w:t>
      </w:r>
      <w:r>
        <w:rPr>
          <w:rFonts w:hint="eastAsia" w:ascii="仿宋" w:hAnsi="仿宋" w:eastAsia="仿宋"/>
          <w:b/>
          <w:bCs/>
          <w:sz w:val="32"/>
          <w:szCs w:val="32"/>
        </w:rPr>
        <w:t>加快推动安全生产监管模式向事前预防数字化转型</w:t>
      </w:r>
      <w:r>
        <w:rPr>
          <w:rFonts w:hint="eastAsia" w:ascii="仿宋" w:hAnsi="仿宋" w:eastAsia="仿宋"/>
          <w:sz w:val="32"/>
          <w:szCs w:val="32"/>
        </w:rPr>
        <w:t>，推进人工智能、大数据、物联网等技术与安全生产融合发展</w:t>
      </w:r>
      <w:r>
        <w:rPr>
          <w:rFonts w:ascii="仿宋" w:hAnsi="仿宋" w:eastAsia="仿宋"/>
          <w:sz w:val="32"/>
          <w:szCs w:val="32"/>
        </w:rPr>
        <w:t>。</w:t>
      </w:r>
      <w:r>
        <w:rPr>
          <w:rFonts w:hint="eastAsia" w:ascii="仿宋" w:hAnsi="仿宋" w:eastAsia="仿宋"/>
          <w:sz w:val="32"/>
          <w:szCs w:val="32"/>
        </w:rPr>
        <w:t>”国务院安委会办公室《关于实施遏制重特大事故工作指南构建双重预防机制的意见》（安委办〔2016〕11号）指出，要“推进事故预防工作科学化、</w:t>
      </w:r>
      <w:r>
        <w:rPr>
          <w:rFonts w:hint="eastAsia" w:ascii="仿宋" w:hAnsi="仿宋" w:eastAsia="仿宋"/>
          <w:b/>
          <w:bCs/>
          <w:sz w:val="32"/>
          <w:szCs w:val="32"/>
        </w:rPr>
        <w:t>信息化</w:t>
      </w:r>
      <w:r>
        <w:rPr>
          <w:rFonts w:hint="eastAsia" w:ascii="仿宋" w:hAnsi="仿宋" w:eastAsia="仿宋"/>
          <w:sz w:val="32"/>
          <w:szCs w:val="32"/>
        </w:rPr>
        <w:t>、标准化”“强化</w:t>
      </w:r>
      <w:r>
        <w:rPr>
          <w:rFonts w:hint="eastAsia" w:ascii="仿宋" w:hAnsi="仿宋" w:eastAsia="仿宋"/>
          <w:b/>
          <w:bCs/>
          <w:sz w:val="32"/>
          <w:szCs w:val="32"/>
        </w:rPr>
        <w:t>智能化、信息化技术的应用</w:t>
      </w:r>
      <w:r>
        <w:rPr>
          <w:rFonts w:hint="eastAsia" w:ascii="仿宋" w:hAnsi="仿宋" w:eastAsia="仿宋"/>
          <w:sz w:val="32"/>
          <w:szCs w:val="32"/>
        </w:rPr>
        <w:t>”“要督促企业</w:t>
      </w:r>
      <w:r>
        <w:rPr>
          <w:rFonts w:hint="eastAsia" w:ascii="仿宋" w:hAnsi="仿宋" w:eastAsia="仿宋"/>
          <w:b/>
          <w:bCs/>
          <w:sz w:val="32"/>
          <w:szCs w:val="32"/>
        </w:rPr>
        <w:t>加强内部智能化、信息化管理平台建设</w:t>
      </w:r>
      <w:r>
        <w:rPr>
          <w:rFonts w:hint="eastAsia" w:ascii="仿宋" w:hAnsi="仿宋" w:eastAsia="仿宋"/>
          <w:sz w:val="32"/>
          <w:szCs w:val="32"/>
        </w:rPr>
        <w:t>，将所有辨识出的风险和排查出的隐患</w:t>
      </w:r>
      <w:r>
        <w:rPr>
          <w:rFonts w:hint="eastAsia" w:ascii="仿宋" w:hAnsi="仿宋" w:eastAsia="仿宋"/>
          <w:b/>
          <w:bCs/>
          <w:sz w:val="32"/>
          <w:szCs w:val="32"/>
        </w:rPr>
        <w:t>全部录入管理平台</w:t>
      </w:r>
      <w:r>
        <w:rPr>
          <w:rFonts w:hint="eastAsia" w:ascii="仿宋" w:hAnsi="仿宋" w:eastAsia="仿宋"/>
          <w:sz w:val="32"/>
          <w:szCs w:val="32"/>
        </w:rPr>
        <w:t>，逐步实现对企业风险管控和隐患排查治理情况的信息化管理”“要针对可能引发重特大事故的重点区域、重点单位、重点部位和关键环节，加强远程监测、自动化控制、自动预警和紧急避险等设施设备的使用，强化技术安全防范措施”，功能内容主要依据广西应安联信息技术有限公司目前现有的平台功能要求进行确定。</w:t>
      </w:r>
    </w:p>
    <w:p>
      <w:pPr>
        <w:numPr>
          <w:ilvl w:val="0"/>
          <w:numId w:val="4"/>
        </w:numPr>
        <w:spacing w:line="560" w:lineRule="exact"/>
        <w:ind w:firstLine="643" w:firstLineChars="200"/>
        <w:jc w:val="left"/>
        <w:rPr>
          <w:rFonts w:ascii="楷体" w:hAnsi="楷体" w:eastAsia="楷体" w:cs="仿宋_GB2312"/>
          <w:b/>
          <w:sz w:val="32"/>
          <w:szCs w:val="32"/>
        </w:rPr>
      </w:pPr>
      <w:r>
        <w:rPr>
          <w:rFonts w:hint="eastAsia" w:ascii="楷体" w:hAnsi="楷体" w:eastAsia="楷体" w:cs="仿宋_GB2312"/>
          <w:b/>
          <w:sz w:val="32"/>
          <w:szCs w:val="32"/>
        </w:rPr>
        <w:t>设备设施要求</w:t>
      </w:r>
    </w:p>
    <w:p>
      <w:pPr>
        <w:spacing w:line="560" w:lineRule="exact"/>
        <w:ind w:firstLine="640" w:firstLineChars="200"/>
        <w:rPr>
          <w:rFonts w:ascii="仿宋" w:hAnsi="仿宋" w:eastAsia="仿宋" w:cs="仿宋"/>
          <w:color w:val="FF0000"/>
          <w:sz w:val="32"/>
          <w:szCs w:val="32"/>
        </w:rPr>
      </w:pPr>
      <w:r>
        <w:rPr>
          <w:rFonts w:hint="eastAsia" w:ascii="仿宋" w:hAnsi="仿宋" w:eastAsia="仿宋"/>
          <w:sz w:val="32"/>
          <w:szCs w:val="32"/>
        </w:rPr>
        <w:t>主要规定了信号网络、设施设备、安全防护等相关要求。</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主要依据</w:t>
      </w:r>
      <w:bookmarkStart w:id="5" w:name="_Toc8179"/>
      <w:r>
        <w:rPr>
          <w:rFonts w:hint="eastAsia" w:ascii="仿宋" w:hAnsi="仿宋" w:eastAsia="仿宋"/>
          <w:sz w:val="32"/>
          <w:szCs w:val="32"/>
        </w:rPr>
        <w:t>是GB/T 20271、GB/T 20272、GB/T 20273、GB/T 21028、GB/T 31496等标准关于设备信息安全防护的要求。</w:t>
      </w:r>
    </w:p>
    <w:p>
      <w:pPr>
        <w:pStyle w:val="2"/>
        <w:keepNext/>
        <w:shd w:val="clear" w:color="auto" w:fill="FFFFFF"/>
        <w:spacing w:before="100" w:after="100"/>
        <w:jc w:val="both"/>
        <w:rPr>
          <w:rFonts w:ascii="Times New Roman" w:hAnsi="Times New Roman" w:cs="Times New Roman"/>
          <w:bCs/>
          <w:color w:val="000000" w:themeColor="text1"/>
          <w:szCs w:val="44"/>
          <w14:textFill>
            <w14:solidFill>
              <w14:schemeClr w14:val="tx1"/>
            </w14:solidFill>
          </w14:textFill>
        </w:rPr>
      </w:pPr>
      <w:r>
        <w:rPr>
          <w:rFonts w:hint="eastAsia" w:ascii="Times New Roman" w:hAnsi="Times New Roman" w:cs="Times New Roman"/>
          <w:bCs/>
          <w:color w:val="000000" w:themeColor="text1"/>
          <w:szCs w:val="44"/>
          <w14:textFill>
            <w14:solidFill>
              <w14:schemeClr w14:val="tx1"/>
            </w14:solidFill>
          </w14:textFill>
        </w:rPr>
        <w:t>六、国内外同类标准制修订情况及与法律法规、强制性标准</w:t>
      </w:r>
      <w:bookmarkEnd w:id="5"/>
    </w:p>
    <w:p>
      <w:pPr>
        <w:spacing w:line="560" w:lineRule="exact"/>
        <w:ind w:firstLine="640" w:firstLineChars="200"/>
        <w:rPr>
          <w:rFonts w:ascii="仿宋" w:hAnsi="仿宋" w:eastAsia="仿宋"/>
          <w:sz w:val="32"/>
          <w:szCs w:val="32"/>
        </w:rPr>
      </w:pPr>
      <w:r>
        <w:rPr>
          <w:rFonts w:hint="eastAsia" w:ascii="仿宋" w:hAnsi="仿宋" w:eastAsia="仿宋"/>
          <w:sz w:val="32"/>
          <w:szCs w:val="32"/>
        </w:rPr>
        <w:t>目前我国并未针对企业安全风险分级管控和隐患排查治理双重预防机制信息化平台建设制定相应标准，对企业在双控信息化平台建设的研究不多，虽然我国在许多行业、特定场所制定了安全生产标准，但至今未见企业安全风险分级管控和隐患排查治理双重预防机制信息化平台建设方面的技术标准。</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与企业安全风险分级管控和隐患排查治理双重预防机制信息化平台建设相关的标准主要有：《企业双重预防机制信息管理平台建设规范》（DB13/T 5740-2023）、《企业双重预防机制信息系统建设指南》（</w:t>
      </w:r>
      <w:r>
        <w:rPr>
          <w:rFonts w:ascii="仿宋_GB2312" w:hAnsi="仿宋_GB2312" w:eastAsia="仿宋_GB2312" w:cs="仿宋_GB2312"/>
          <w:sz w:val="32"/>
          <w:szCs w:val="32"/>
        </w:rPr>
        <w:t>DB23/T 2826—2021</w:t>
      </w:r>
      <w:r>
        <w:rPr>
          <w:rFonts w:hint="eastAsia" w:ascii="仿宋" w:hAnsi="仿宋" w:eastAsia="仿宋"/>
          <w:sz w:val="32"/>
          <w:szCs w:val="32"/>
        </w:rPr>
        <w:t>）、</w:t>
      </w:r>
      <w:r>
        <w:rPr>
          <w:rFonts w:hint="eastAsia" w:ascii="仿宋_GB2312" w:hAnsi="仿宋_GB2312" w:eastAsia="仿宋_GB2312" w:cs="仿宋_GB2312"/>
          <w:sz w:val="32"/>
          <w:szCs w:val="32"/>
        </w:rPr>
        <w:t>《企业双重预防机制信息系统建设评估指南》（DB23/T 2820—2021）</w:t>
      </w:r>
      <w:r>
        <w:rPr>
          <w:rFonts w:hint="eastAsia" w:ascii="仿宋" w:hAnsi="仿宋" w:eastAsia="仿宋"/>
          <w:sz w:val="32"/>
          <w:szCs w:val="32"/>
        </w:rPr>
        <w:t>，以上标准提出了企业安全风险分级管控和隐患排查治理双重预防机制信息化平台建设的要求，部分内容可作为本标准研制的参考。</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标准严格结合国家、自治区关于构建双重预防机制建设的要求，由于目前区内暂无相关参考双重预防机制建设及相关信息化平台建设标准，本标准按照《企业安全风险分级管控与隐患排查治理双重预防机制建设规范》（T/GXYX 0001-2023）相关具体要求，并参考目前有大量区内企业使用的广西应安联信息技术有限公司的应急安全管理云平台，在结合其功能特点、总结企业反馈的基础上进一步完善提出本标准，填补了区内关于双重预防机制信息化平台建设标准的空白，也适用于区内双重预防机制信息化平台的建立。</w:t>
      </w:r>
    </w:p>
    <w:p>
      <w:pPr>
        <w:pStyle w:val="2"/>
        <w:keepNext/>
        <w:shd w:val="clear" w:color="auto" w:fill="FFFFFF"/>
        <w:spacing w:before="100" w:after="100"/>
        <w:jc w:val="both"/>
        <w:rPr>
          <w:rFonts w:ascii="仿宋_GB2312" w:hAnsi="仿宋_GB2312" w:eastAsia="仿宋_GB2312" w:cs="仿宋_GB2312"/>
          <w:b/>
          <w:bCs/>
          <w:szCs w:val="32"/>
        </w:rPr>
      </w:pPr>
      <w:bookmarkStart w:id="6" w:name="_Toc2657"/>
      <w:r>
        <w:rPr>
          <w:rFonts w:hint="eastAsia"/>
        </w:rPr>
        <w:t>七、重大分歧意见的处理经过和依据</w:t>
      </w:r>
      <w:bookmarkEnd w:id="6"/>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本标准起草过程无重大分歧意见。</w:t>
      </w:r>
    </w:p>
    <w:p>
      <w:pPr>
        <w:pStyle w:val="2"/>
        <w:keepNext/>
        <w:numPr>
          <w:ilvl w:val="0"/>
          <w:numId w:val="5"/>
        </w:numPr>
        <w:shd w:val="clear" w:color="auto" w:fill="FFFFFF"/>
        <w:spacing w:before="100" w:after="100"/>
        <w:jc w:val="both"/>
      </w:pPr>
      <w:bookmarkStart w:id="7" w:name="_Toc21237"/>
      <w:r>
        <w:t>对标准性质的建议</w:t>
      </w:r>
      <w:bookmarkEnd w:id="7"/>
    </w:p>
    <w:p>
      <w:pPr>
        <w:spacing w:line="560" w:lineRule="exact"/>
        <w:ind w:firstLine="640" w:firstLineChars="200"/>
        <w:rPr>
          <w:rFonts w:ascii="仿宋" w:hAnsi="仿宋" w:eastAsia="仿宋"/>
          <w:sz w:val="32"/>
          <w:szCs w:val="32"/>
        </w:rPr>
      </w:pPr>
      <w:r>
        <w:rPr>
          <w:rFonts w:ascii="仿宋" w:hAnsi="仿宋" w:eastAsia="仿宋"/>
          <w:sz w:val="32"/>
          <w:szCs w:val="32"/>
        </w:rPr>
        <w:t>建议本标准作为推荐性团体标准发布。</w:t>
      </w:r>
    </w:p>
    <w:p>
      <w:pPr>
        <w:pStyle w:val="2"/>
        <w:keepNext/>
        <w:shd w:val="clear" w:color="auto" w:fill="FFFFFF"/>
        <w:spacing w:before="100" w:after="100"/>
        <w:jc w:val="both"/>
      </w:pPr>
      <w:bookmarkStart w:id="8" w:name="_Toc19494"/>
      <w:r>
        <w:rPr>
          <w:rFonts w:hint="eastAsia"/>
        </w:rPr>
        <w:t>九、</w:t>
      </w:r>
      <w:r>
        <w:t>贯彻标准的措施建议</w:t>
      </w:r>
      <w:bookmarkEnd w:id="8"/>
    </w:p>
    <w:p>
      <w:pPr>
        <w:spacing w:line="560" w:lineRule="exact"/>
        <w:ind w:firstLine="640" w:firstLineChars="200"/>
        <w:rPr>
          <w:rFonts w:ascii="仿宋" w:hAnsi="仿宋" w:eastAsia="仿宋"/>
          <w:sz w:val="32"/>
          <w:szCs w:val="32"/>
        </w:rPr>
      </w:pPr>
      <w:r>
        <w:rPr>
          <w:rFonts w:ascii="仿宋" w:hAnsi="仿宋" w:eastAsia="仿宋"/>
          <w:sz w:val="32"/>
          <w:szCs w:val="32"/>
        </w:rPr>
        <w:t>本标准完成后，将作为广西壮族自治区</w:t>
      </w:r>
      <w:r>
        <w:rPr>
          <w:rFonts w:hint="eastAsia" w:ascii="仿宋" w:hAnsi="仿宋" w:eastAsia="仿宋"/>
          <w:sz w:val="32"/>
          <w:szCs w:val="32"/>
        </w:rPr>
        <w:t>企业双控信息化平台建设</w:t>
      </w:r>
      <w:r>
        <w:rPr>
          <w:rFonts w:ascii="仿宋" w:hAnsi="仿宋" w:eastAsia="仿宋"/>
          <w:sz w:val="32"/>
          <w:szCs w:val="32"/>
        </w:rPr>
        <w:t>规范，在全区推广应用。建议统一组织标准宣贯，让标准为广西壮族自治区</w:t>
      </w:r>
      <w:r>
        <w:rPr>
          <w:rFonts w:hint="eastAsia" w:ascii="仿宋" w:hAnsi="仿宋" w:eastAsia="仿宋"/>
          <w:sz w:val="32"/>
          <w:szCs w:val="32"/>
        </w:rPr>
        <w:t>企业双控信息化平台建设</w:t>
      </w:r>
      <w:r>
        <w:rPr>
          <w:rFonts w:ascii="仿宋" w:hAnsi="仿宋" w:eastAsia="仿宋"/>
          <w:sz w:val="32"/>
          <w:szCs w:val="32"/>
        </w:rPr>
        <w:t>提供技术支撑。</w:t>
      </w:r>
    </w:p>
    <w:p>
      <w:pPr>
        <w:pStyle w:val="2"/>
        <w:keepNext/>
        <w:shd w:val="clear" w:color="auto" w:fill="FFFFFF"/>
        <w:spacing w:before="100" w:after="100"/>
        <w:jc w:val="both"/>
      </w:pPr>
      <w:bookmarkStart w:id="9" w:name="_Toc24829"/>
      <w:r>
        <w:rPr>
          <w:rFonts w:hint="eastAsia"/>
        </w:rPr>
        <w:t>十、</w:t>
      </w:r>
      <w:r>
        <w:t>自我承诺</w:t>
      </w:r>
      <w:bookmarkEnd w:id="9"/>
    </w:p>
    <w:p>
      <w:pPr>
        <w:spacing w:line="560" w:lineRule="exact"/>
        <w:ind w:firstLine="640" w:firstLineChars="200"/>
        <w:rPr>
          <w:rFonts w:ascii="仿宋" w:hAnsi="仿宋" w:eastAsia="仿宋"/>
          <w:sz w:val="32"/>
          <w:szCs w:val="32"/>
        </w:rPr>
      </w:pPr>
      <w:r>
        <w:rPr>
          <w:rFonts w:hint="eastAsia" w:ascii="仿宋" w:hAnsi="仿宋" w:eastAsia="仿宋"/>
          <w:sz w:val="32"/>
          <w:szCs w:val="32"/>
        </w:rPr>
        <w:t>本标准内容与各项指标不低于国家强制性标准要求。</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ingLiU">
    <w:panose1 w:val="02020509000000000000"/>
    <w:charset w:val="88"/>
    <w:family w:val="modern"/>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6859A"/>
    <w:multiLevelType w:val="singleLevel"/>
    <w:tmpl w:val="A7B6859A"/>
    <w:lvl w:ilvl="0" w:tentative="0">
      <w:start w:val="6"/>
      <w:numFmt w:val="chineseCounting"/>
      <w:suff w:val="nothing"/>
      <w:lvlText w:val="（%1）"/>
      <w:lvlJc w:val="left"/>
      <w:rPr>
        <w:rFonts w:hint="eastAsia"/>
      </w:rPr>
    </w:lvl>
  </w:abstractNum>
  <w:abstractNum w:abstractNumId="1">
    <w:nsid w:val="686112E6"/>
    <w:multiLevelType w:val="multilevel"/>
    <w:tmpl w:val="686112E6"/>
    <w:lvl w:ilvl="0" w:tentative="0">
      <w:start w:val="0"/>
      <w:numFmt w:val="decimal"/>
      <w:lvlText w:val="%1"/>
      <w:lvlJc w:val="left"/>
      <w:pPr>
        <w:ind w:left="432" w:hanging="432"/>
      </w:pPr>
      <w:rPr>
        <w:rFonts w:hint="eastAsia" w:cs="Times New Roman"/>
      </w:rPr>
    </w:lvl>
    <w:lvl w:ilvl="1" w:tentative="0">
      <w:start w:val="1"/>
      <w:numFmt w:val="decimal"/>
      <w:pStyle w:val="3"/>
      <w:lvlText w:val="%1.%2"/>
      <w:lvlJc w:val="left"/>
      <w:pPr>
        <w:ind w:left="576" w:hanging="576"/>
      </w:pPr>
      <w:rPr>
        <w:rFonts w:hint="eastAsia" w:ascii="宋体" w:hAnsi="宋体" w:eastAsia="宋体" w:cs="Times New Roman"/>
      </w:rPr>
    </w:lvl>
    <w:lvl w:ilvl="2" w:tentative="0">
      <w:start w:val="1"/>
      <w:numFmt w:val="decimal"/>
      <w:lvlText w:val="%1.%2.%3"/>
      <w:lvlJc w:val="left"/>
      <w:pPr>
        <w:ind w:left="720" w:hanging="720"/>
      </w:pPr>
      <w:rPr>
        <w:rFonts w:hint="eastAsia" w:cs="Times New Roman"/>
      </w:rPr>
    </w:lvl>
    <w:lvl w:ilvl="3" w:tentative="0">
      <w:start w:val="1"/>
      <w:numFmt w:val="decimal"/>
      <w:lvlText w:val="%1.%2.%3.%4"/>
      <w:lvlJc w:val="left"/>
      <w:pPr>
        <w:ind w:left="864" w:hanging="864"/>
      </w:pPr>
      <w:rPr>
        <w:rFonts w:hint="eastAsia" w:cs="Times New Roman"/>
        <w:color w:val="auto"/>
      </w:rPr>
    </w:lvl>
    <w:lvl w:ilvl="4" w:tentative="0">
      <w:start w:val="1"/>
      <w:numFmt w:val="decimal"/>
      <w:lvlText w:val="%1.%2.%3.%4.%5"/>
      <w:lvlJc w:val="left"/>
      <w:pPr>
        <w:ind w:left="1008" w:hanging="1008"/>
      </w:pPr>
      <w:rPr>
        <w:rFonts w:hint="eastAsia" w:cs="Times New Roman"/>
      </w:rPr>
    </w:lvl>
    <w:lvl w:ilvl="5" w:tentative="0">
      <w:start w:val="1"/>
      <w:numFmt w:val="decimal"/>
      <w:lvlText w:val="%1.%2.%3.%4.%5.%6"/>
      <w:lvlJc w:val="left"/>
      <w:pPr>
        <w:ind w:left="1152" w:hanging="1152"/>
      </w:pPr>
      <w:rPr>
        <w:rFonts w:hint="eastAsia" w:cs="Times New Roman"/>
      </w:rPr>
    </w:lvl>
    <w:lvl w:ilvl="6" w:tentative="0">
      <w:start w:val="1"/>
      <w:numFmt w:val="decimal"/>
      <w:lvlText w:val="%1.%2.%3.%4.%5.%6.%7"/>
      <w:lvlJc w:val="left"/>
      <w:pPr>
        <w:ind w:left="1296" w:hanging="1296"/>
      </w:pPr>
      <w:rPr>
        <w:rFonts w:hint="eastAsia" w:cs="Times New Roman"/>
      </w:rPr>
    </w:lvl>
    <w:lvl w:ilvl="7" w:tentative="0">
      <w:start w:val="1"/>
      <w:numFmt w:val="decimal"/>
      <w:lvlText w:val="%1.%2.%3.%4.%5.%6.%7.%8"/>
      <w:lvlJc w:val="left"/>
      <w:pPr>
        <w:ind w:left="1440" w:hanging="1440"/>
      </w:pPr>
      <w:rPr>
        <w:rFonts w:hint="eastAsia" w:cs="Times New Roman"/>
      </w:rPr>
    </w:lvl>
    <w:lvl w:ilvl="8" w:tentative="0">
      <w:start w:val="1"/>
      <w:numFmt w:val="decimal"/>
      <w:lvlText w:val="%1.%2.%3.%4.%5.%6.%7.%8.%9"/>
      <w:lvlJc w:val="left"/>
      <w:pPr>
        <w:ind w:left="1584" w:hanging="1584"/>
      </w:pPr>
      <w:rPr>
        <w:rFonts w:hint="eastAsia" w:cs="Times New Roman"/>
      </w:r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567" w:firstLine="0"/>
      </w:pPr>
      <w:rPr>
        <w:rFonts w:hint="eastAsia" w:ascii="黑体" w:eastAsia="黑体"/>
        <w:b w:val="0"/>
        <w:i w:val="0"/>
        <w:sz w:val="21"/>
      </w:rPr>
    </w:lvl>
    <w:lvl w:ilvl="2" w:tentative="0">
      <w:start w:val="1"/>
      <w:numFmt w:val="decimal"/>
      <w:pStyle w:val="20"/>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142" w:firstLine="0"/>
      </w:pPr>
      <w:rPr>
        <w:rFonts w:hint="eastAsia" w:ascii="黑体" w:hAns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747EA909"/>
    <w:multiLevelType w:val="singleLevel"/>
    <w:tmpl w:val="747EA909"/>
    <w:lvl w:ilvl="0" w:tentative="0">
      <w:start w:val="8"/>
      <w:numFmt w:val="chineseCounting"/>
      <w:suff w:val="nothing"/>
      <w:lvlText w:val="%1、"/>
      <w:lvlJc w:val="left"/>
      <w:rPr>
        <w:rFonts w:hint="eastAsia"/>
      </w:rPr>
    </w:lvl>
  </w:abstractNum>
  <w:abstractNum w:abstractNumId="4">
    <w:nsid w:val="7FE69F3F"/>
    <w:multiLevelType w:val="multilevel"/>
    <w:tmpl w:val="7FE69F3F"/>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425"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6"/>
      <w:suff w:val="nothing"/>
      <w:lvlText w:val="%1%2.%3.%4　"/>
      <w:lvlJc w:val="left"/>
      <w:pPr>
        <w:ind w:left="993" w:firstLine="0"/>
      </w:pPr>
      <w:rPr>
        <w:rFonts w:hint="eastAsia" w:ascii="黑体" w:hAnsi="Times New Roman" w:eastAsia="黑体" w:cs="黑体"/>
        <w:b w:val="0"/>
        <w:i w:val="0"/>
        <w:color w:val="auto"/>
        <w:sz w:val="21"/>
      </w:rPr>
    </w:lvl>
    <w:lvl w:ilvl="4" w:tentative="0">
      <w:start w:val="1"/>
      <w:numFmt w:val="decimal"/>
      <w:suff w:val="nothing"/>
      <w:lvlText w:val="%1%2.%3.%4.%5　"/>
      <w:lvlJc w:val="left"/>
      <w:pPr>
        <w:ind w:left="710" w:firstLine="0"/>
      </w:pPr>
      <w:rPr>
        <w:rFonts w:hint="eastAsia" w:ascii="黑体" w:hAnsi="Times New Roman" w:eastAsia="黑体" w:cs="黑体"/>
        <w:b w:val="0"/>
        <w:i w:val="0"/>
        <w:color w:val="auto"/>
        <w:sz w:val="21"/>
      </w:rPr>
    </w:lvl>
    <w:lvl w:ilvl="5" w:tentative="0">
      <w:start w:val="1"/>
      <w:numFmt w:val="decimal"/>
      <w:suff w:val="nothing"/>
      <w:lvlText w:val="%1%2.%3.%4.%5.%6　"/>
      <w:lvlJc w:val="left"/>
      <w:pPr>
        <w:ind w:left="142"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NDJiNjllOGFlYTk4OTJjZTM4MmRlNzI0NzNiNzcifQ=="/>
    <w:docVar w:name="KSO_WPS_MARK_KEY" w:val="de93f386-d28d-4da0-a742-2d07c70317e4"/>
  </w:docVars>
  <w:rsids>
    <w:rsidRoot w:val="00ED0E90"/>
    <w:rsid w:val="000003CC"/>
    <w:rsid w:val="00020791"/>
    <w:rsid w:val="00026EEC"/>
    <w:rsid w:val="00036CF5"/>
    <w:rsid w:val="00092827"/>
    <w:rsid w:val="00097D0F"/>
    <w:rsid w:val="000B14F2"/>
    <w:rsid w:val="000C5322"/>
    <w:rsid w:val="000D02B3"/>
    <w:rsid w:val="000E166D"/>
    <w:rsid w:val="000F285C"/>
    <w:rsid w:val="000F46CA"/>
    <w:rsid w:val="000F7498"/>
    <w:rsid w:val="00112A80"/>
    <w:rsid w:val="0014315F"/>
    <w:rsid w:val="0014773F"/>
    <w:rsid w:val="001479A7"/>
    <w:rsid w:val="00153A10"/>
    <w:rsid w:val="00165F50"/>
    <w:rsid w:val="00172EBC"/>
    <w:rsid w:val="00177CAB"/>
    <w:rsid w:val="001A166D"/>
    <w:rsid w:val="001A7B47"/>
    <w:rsid w:val="001B74BA"/>
    <w:rsid w:val="001E1D91"/>
    <w:rsid w:val="0022163C"/>
    <w:rsid w:val="00227955"/>
    <w:rsid w:val="00234439"/>
    <w:rsid w:val="0023449A"/>
    <w:rsid w:val="002574E4"/>
    <w:rsid w:val="0026727A"/>
    <w:rsid w:val="002713B8"/>
    <w:rsid w:val="00277FC4"/>
    <w:rsid w:val="0028235F"/>
    <w:rsid w:val="002B27C5"/>
    <w:rsid w:val="002F02C5"/>
    <w:rsid w:val="003041E8"/>
    <w:rsid w:val="00304833"/>
    <w:rsid w:val="00307D35"/>
    <w:rsid w:val="003160FE"/>
    <w:rsid w:val="00355226"/>
    <w:rsid w:val="00366888"/>
    <w:rsid w:val="00377A24"/>
    <w:rsid w:val="00382F55"/>
    <w:rsid w:val="0038456F"/>
    <w:rsid w:val="003A7AAC"/>
    <w:rsid w:val="003D0110"/>
    <w:rsid w:val="003D36A5"/>
    <w:rsid w:val="003E0167"/>
    <w:rsid w:val="003F0A66"/>
    <w:rsid w:val="003F0CDD"/>
    <w:rsid w:val="004069AA"/>
    <w:rsid w:val="00422FE7"/>
    <w:rsid w:val="0043139A"/>
    <w:rsid w:val="004340E0"/>
    <w:rsid w:val="00456030"/>
    <w:rsid w:val="00463D57"/>
    <w:rsid w:val="00487623"/>
    <w:rsid w:val="004A0396"/>
    <w:rsid w:val="004C786B"/>
    <w:rsid w:val="004D08BC"/>
    <w:rsid w:val="005011AD"/>
    <w:rsid w:val="0051668B"/>
    <w:rsid w:val="00523CA4"/>
    <w:rsid w:val="005335E1"/>
    <w:rsid w:val="00536FE0"/>
    <w:rsid w:val="005534B5"/>
    <w:rsid w:val="00576316"/>
    <w:rsid w:val="005816FC"/>
    <w:rsid w:val="005A6F61"/>
    <w:rsid w:val="005C203F"/>
    <w:rsid w:val="005C5679"/>
    <w:rsid w:val="005D5372"/>
    <w:rsid w:val="005F337A"/>
    <w:rsid w:val="00613C4F"/>
    <w:rsid w:val="00624E3F"/>
    <w:rsid w:val="00653876"/>
    <w:rsid w:val="00666482"/>
    <w:rsid w:val="006B2C01"/>
    <w:rsid w:val="006C212C"/>
    <w:rsid w:val="0075438A"/>
    <w:rsid w:val="00782364"/>
    <w:rsid w:val="007834C4"/>
    <w:rsid w:val="007C0F95"/>
    <w:rsid w:val="007F0450"/>
    <w:rsid w:val="007F2ED0"/>
    <w:rsid w:val="007F6BDA"/>
    <w:rsid w:val="0082724C"/>
    <w:rsid w:val="00864E7C"/>
    <w:rsid w:val="00883D52"/>
    <w:rsid w:val="00894C79"/>
    <w:rsid w:val="008C459C"/>
    <w:rsid w:val="008F753E"/>
    <w:rsid w:val="0091182C"/>
    <w:rsid w:val="00921A5D"/>
    <w:rsid w:val="009344B7"/>
    <w:rsid w:val="00936719"/>
    <w:rsid w:val="00941374"/>
    <w:rsid w:val="00945108"/>
    <w:rsid w:val="00956C59"/>
    <w:rsid w:val="009607BC"/>
    <w:rsid w:val="009B2E86"/>
    <w:rsid w:val="009B369A"/>
    <w:rsid w:val="009D7A5B"/>
    <w:rsid w:val="009F7867"/>
    <w:rsid w:val="00A15937"/>
    <w:rsid w:val="00A36599"/>
    <w:rsid w:val="00A53C92"/>
    <w:rsid w:val="00A607A5"/>
    <w:rsid w:val="00A91BAA"/>
    <w:rsid w:val="00A93FB4"/>
    <w:rsid w:val="00AA2E3A"/>
    <w:rsid w:val="00AD00A9"/>
    <w:rsid w:val="00AD526A"/>
    <w:rsid w:val="00AE41FB"/>
    <w:rsid w:val="00AF3149"/>
    <w:rsid w:val="00B1426A"/>
    <w:rsid w:val="00B23CA6"/>
    <w:rsid w:val="00B336EF"/>
    <w:rsid w:val="00B42459"/>
    <w:rsid w:val="00B60779"/>
    <w:rsid w:val="00B6617F"/>
    <w:rsid w:val="00B946D0"/>
    <w:rsid w:val="00B962A5"/>
    <w:rsid w:val="00BB577F"/>
    <w:rsid w:val="00BD741A"/>
    <w:rsid w:val="00BF437F"/>
    <w:rsid w:val="00C019AD"/>
    <w:rsid w:val="00C05BCF"/>
    <w:rsid w:val="00C06729"/>
    <w:rsid w:val="00C33487"/>
    <w:rsid w:val="00C46811"/>
    <w:rsid w:val="00C55B40"/>
    <w:rsid w:val="00C5732C"/>
    <w:rsid w:val="00C82B48"/>
    <w:rsid w:val="00C85578"/>
    <w:rsid w:val="00CA2E2F"/>
    <w:rsid w:val="00CD3CAF"/>
    <w:rsid w:val="00CE5150"/>
    <w:rsid w:val="00CE76F5"/>
    <w:rsid w:val="00D041A3"/>
    <w:rsid w:val="00D23C7F"/>
    <w:rsid w:val="00D2522E"/>
    <w:rsid w:val="00D31A83"/>
    <w:rsid w:val="00D32300"/>
    <w:rsid w:val="00D76B42"/>
    <w:rsid w:val="00D85051"/>
    <w:rsid w:val="00D907D5"/>
    <w:rsid w:val="00DD0E01"/>
    <w:rsid w:val="00DE50C0"/>
    <w:rsid w:val="00E1776A"/>
    <w:rsid w:val="00E606FC"/>
    <w:rsid w:val="00E90ED8"/>
    <w:rsid w:val="00E92BE3"/>
    <w:rsid w:val="00EA0C63"/>
    <w:rsid w:val="00EA4629"/>
    <w:rsid w:val="00EB1DC3"/>
    <w:rsid w:val="00ED0E90"/>
    <w:rsid w:val="00F45D22"/>
    <w:rsid w:val="00F84FFA"/>
    <w:rsid w:val="00F93244"/>
    <w:rsid w:val="00FA0710"/>
    <w:rsid w:val="00FA7870"/>
    <w:rsid w:val="00FB3A1A"/>
    <w:rsid w:val="00FB7927"/>
    <w:rsid w:val="00FF4350"/>
    <w:rsid w:val="0120757A"/>
    <w:rsid w:val="013C3CEB"/>
    <w:rsid w:val="016B16ED"/>
    <w:rsid w:val="01DB1E9B"/>
    <w:rsid w:val="02150348"/>
    <w:rsid w:val="027D35DB"/>
    <w:rsid w:val="0282192C"/>
    <w:rsid w:val="02A94615"/>
    <w:rsid w:val="02F26100"/>
    <w:rsid w:val="033D1D15"/>
    <w:rsid w:val="03692DD3"/>
    <w:rsid w:val="03763778"/>
    <w:rsid w:val="0464657C"/>
    <w:rsid w:val="0520744E"/>
    <w:rsid w:val="0567012E"/>
    <w:rsid w:val="058D72AB"/>
    <w:rsid w:val="059E2736"/>
    <w:rsid w:val="05C232AB"/>
    <w:rsid w:val="0605087C"/>
    <w:rsid w:val="06464AD5"/>
    <w:rsid w:val="078D7D14"/>
    <w:rsid w:val="08155AE3"/>
    <w:rsid w:val="081B1B40"/>
    <w:rsid w:val="08AF5C03"/>
    <w:rsid w:val="092B0253"/>
    <w:rsid w:val="095F77B1"/>
    <w:rsid w:val="0A145499"/>
    <w:rsid w:val="0A1C4841"/>
    <w:rsid w:val="0A2D7C20"/>
    <w:rsid w:val="0AFB05D8"/>
    <w:rsid w:val="0BF9011C"/>
    <w:rsid w:val="0C3824CA"/>
    <w:rsid w:val="0CDE38A3"/>
    <w:rsid w:val="0D724903"/>
    <w:rsid w:val="0DBC1323"/>
    <w:rsid w:val="0DE7223A"/>
    <w:rsid w:val="0E095611"/>
    <w:rsid w:val="0E32235B"/>
    <w:rsid w:val="0E4A39F3"/>
    <w:rsid w:val="0EFE7059"/>
    <w:rsid w:val="0F0E27FB"/>
    <w:rsid w:val="0F4B2383"/>
    <w:rsid w:val="0F5A4111"/>
    <w:rsid w:val="0FFC103F"/>
    <w:rsid w:val="101512CC"/>
    <w:rsid w:val="105A17CC"/>
    <w:rsid w:val="105E06DF"/>
    <w:rsid w:val="10D603EB"/>
    <w:rsid w:val="10FB5A5D"/>
    <w:rsid w:val="1139092F"/>
    <w:rsid w:val="117109C5"/>
    <w:rsid w:val="1179423F"/>
    <w:rsid w:val="11C651F2"/>
    <w:rsid w:val="1203633A"/>
    <w:rsid w:val="121B6CE0"/>
    <w:rsid w:val="12DD201C"/>
    <w:rsid w:val="12E54C44"/>
    <w:rsid w:val="13357928"/>
    <w:rsid w:val="134C3F90"/>
    <w:rsid w:val="141775A1"/>
    <w:rsid w:val="14866693"/>
    <w:rsid w:val="14C5254E"/>
    <w:rsid w:val="15116642"/>
    <w:rsid w:val="154B7399"/>
    <w:rsid w:val="16242ACD"/>
    <w:rsid w:val="16B421BF"/>
    <w:rsid w:val="17127110"/>
    <w:rsid w:val="17133B23"/>
    <w:rsid w:val="17E71EE0"/>
    <w:rsid w:val="19336CE8"/>
    <w:rsid w:val="19540283"/>
    <w:rsid w:val="19BB6F72"/>
    <w:rsid w:val="19DA1C7E"/>
    <w:rsid w:val="1A192BA7"/>
    <w:rsid w:val="1AA6469A"/>
    <w:rsid w:val="1AD958A5"/>
    <w:rsid w:val="1B0D7F78"/>
    <w:rsid w:val="1BD542E7"/>
    <w:rsid w:val="1BD71730"/>
    <w:rsid w:val="1C0E4509"/>
    <w:rsid w:val="1C166708"/>
    <w:rsid w:val="1C240A62"/>
    <w:rsid w:val="1C67411D"/>
    <w:rsid w:val="1C905967"/>
    <w:rsid w:val="1CB07F3D"/>
    <w:rsid w:val="1CD363C8"/>
    <w:rsid w:val="1DB504B5"/>
    <w:rsid w:val="1DFC6FA9"/>
    <w:rsid w:val="1E0C19CA"/>
    <w:rsid w:val="1E551F4F"/>
    <w:rsid w:val="1EF6794B"/>
    <w:rsid w:val="1F4676C7"/>
    <w:rsid w:val="1F65724C"/>
    <w:rsid w:val="1F6600AB"/>
    <w:rsid w:val="1FDD5529"/>
    <w:rsid w:val="20355697"/>
    <w:rsid w:val="207901EC"/>
    <w:rsid w:val="20856E02"/>
    <w:rsid w:val="20B773A9"/>
    <w:rsid w:val="21427D53"/>
    <w:rsid w:val="21981F2C"/>
    <w:rsid w:val="223A1C2A"/>
    <w:rsid w:val="22D76826"/>
    <w:rsid w:val="23A75E11"/>
    <w:rsid w:val="24B33084"/>
    <w:rsid w:val="24D773CE"/>
    <w:rsid w:val="25334FDD"/>
    <w:rsid w:val="25862D78"/>
    <w:rsid w:val="25CD1CE0"/>
    <w:rsid w:val="25E62658"/>
    <w:rsid w:val="271C0D45"/>
    <w:rsid w:val="275A2C42"/>
    <w:rsid w:val="27A438C3"/>
    <w:rsid w:val="27E82B53"/>
    <w:rsid w:val="286C4455"/>
    <w:rsid w:val="29282ECD"/>
    <w:rsid w:val="29555DA4"/>
    <w:rsid w:val="29705A9A"/>
    <w:rsid w:val="2985444A"/>
    <w:rsid w:val="29D10A18"/>
    <w:rsid w:val="29EE1B68"/>
    <w:rsid w:val="2A022DBC"/>
    <w:rsid w:val="2A1123B3"/>
    <w:rsid w:val="2A2806DE"/>
    <w:rsid w:val="2A30277B"/>
    <w:rsid w:val="2A341A35"/>
    <w:rsid w:val="2A604AE7"/>
    <w:rsid w:val="2ABA57CA"/>
    <w:rsid w:val="2AED18B6"/>
    <w:rsid w:val="2AFE5462"/>
    <w:rsid w:val="2B05336F"/>
    <w:rsid w:val="2B1854DF"/>
    <w:rsid w:val="2B277532"/>
    <w:rsid w:val="2B4E539D"/>
    <w:rsid w:val="2BAB4ED6"/>
    <w:rsid w:val="2C246CED"/>
    <w:rsid w:val="2C7E38F5"/>
    <w:rsid w:val="2C8C1C7F"/>
    <w:rsid w:val="2C8D7E36"/>
    <w:rsid w:val="2CA066CA"/>
    <w:rsid w:val="2CD17F6B"/>
    <w:rsid w:val="2CF30241"/>
    <w:rsid w:val="2D0F1A5D"/>
    <w:rsid w:val="2D4D4C71"/>
    <w:rsid w:val="2DF52013"/>
    <w:rsid w:val="2E153388"/>
    <w:rsid w:val="2E9E7BA5"/>
    <w:rsid w:val="2F4C17D3"/>
    <w:rsid w:val="3057700E"/>
    <w:rsid w:val="305B4683"/>
    <w:rsid w:val="312B7118"/>
    <w:rsid w:val="3168431A"/>
    <w:rsid w:val="31BD374C"/>
    <w:rsid w:val="31CF7C11"/>
    <w:rsid w:val="31DD3473"/>
    <w:rsid w:val="31F80230"/>
    <w:rsid w:val="3232059B"/>
    <w:rsid w:val="32B935B7"/>
    <w:rsid w:val="32E51D23"/>
    <w:rsid w:val="339814E1"/>
    <w:rsid w:val="345018B8"/>
    <w:rsid w:val="346E5735"/>
    <w:rsid w:val="34B429A1"/>
    <w:rsid w:val="34E22D4A"/>
    <w:rsid w:val="35241567"/>
    <w:rsid w:val="35327611"/>
    <w:rsid w:val="35731008"/>
    <w:rsid w:val="359E0633"/>
    <w:rsid w:val="36010DC7"/>
    <w:rsid w:val="360B427D"/>
    <w:rsid w:val="365D4B13"/>
    <w:rsid w:val="366412F1"/>
    <w:rsid w:val="372B7E56"/>
    <w:rsid w:val="37451D73"/>
    <w:rsid w:val="37767D7C"/>
    <w:rsid w:val="3779003B"/>
    <w:rsid w:val="37B80CA2"/>
    <w:rsid w:val="37CC086E"/>
    <w:rsid w:val="38093125"/>
    <w:rsid w:val="384338DF"/>
    <w:rsid w:val="386E5884"/>
    <w:rsid w:val="38DD12C1"/>
    <w:rsid w:val="38DE772D"/>
    <w:rsid w:val="38FA1B78"/>
    <w:rsid w:val="39A47794"/>
    <w:rsid w:val="3A8A2260"/>
    <w:rsid w:val="3AE26185"/>
    <w:rsid w:val="3C40060A"/>
    <w:rsid w:val="3C685B9A"/>
    <w:rsid w:val="3CA41375"/>
    <w:rsid w:val="3CF83CD1"/>
    <w:rsid w:val="3D042AFF"/>
    <w:rsid w:val="3D362F2C"/>
    <w:rsid w:val="3D547F37"/>
    <w:rsid w:val="3D596867"/>
    <w:rsid w:val="3D7624CE"/>
    <w:rsid w:val="3D8E307A"/>
    <w:rsid w:val="3E463F3E"/>
    <w:rsid w:val="3E686D95"/>
    <w:rsid w:val="3F12066E"/>
    <w:rsid w:val="3F2D6C94"/>
    <w:rsid w:val="3F5C06C6"/>
    <w:rsid w:val="3F717515"/>
    <w:rsid w:val="3F743A71"/>
    <w:rsid w:val="3F9502E6"/>
    <w:rsid w:val="3FAE2D62"/>
    <w:rsid w:val="40473E7C"/>
    <w:rsid w:val="40A73469"/>
    <w:rsid w:val="40B255CC"/>
    <w:rsid w:val="40BD3C09"/>
    <w:rsid w:val="411450C7"/>
    <w:rsid w:val="41AF4A5A"/>
    <w:rsid w:val="41C124FA"/>
    <w:rsid w:val="424712F2"/>
    <w:rsid w:val="43675B75"/>
    <w:rsid w:val="43716B70"/>
    <w:rsid w:val="43D20461"/>
    <w:rsid w:val="441D34AB"/>
    <w:rsid w:val="450E7708"/>
    <w:rsid w:val="45625E4D"/>
    <w:rsid w:val="45E73466"/>
    <w:rsid w:val="46087AA3"/>
    <w:rsid w:val="46447084"/>
    <w:rsid w:val="46742867"/>
    <w:rsid w:val="46A65D5F"/>
    <w:rsid w:val="46E94BB6"/>
    <w:rsid w:val="475C2618"/>
    <w:rsid w:val="47E26CD8"/>
    <w:rsid w:val="482C02AD"/>
    <w:rsid w:val="48E9238F"/>
    <w:rsid w:val="490B0E50"/>
    <w:rsid w:val="49103D08"/>
    <w:rsid w:val="4A0A2044"/>
    <w:rsid w:val="4A4D1BB1"/>
    <w:rsid w:val="4AD65E78"/>
    <w:rsid w:val="4B0B6770"/>
    <w:rsid w:val="4B2D1544"/>
    <w:rsid w:val="4B336D7A"/>
    <w:rsid w:val="4C345030"/>
    <w:rsid w:val="4C625226"/>
    <w:rsid w:val="4C676930"/>
    <w:rsid w:val="4D0143CD"/>
    <w:rsid w:val="4D2479C7"/>
    <w:rsid w:val="4D782433"/>
    <w:rsid w:val="4D943880"/>
    <w:rsid w:val="4E327915"/>
    <w:rsid w:val="4E905945"/>
    <w:rsid w:val="4E9969E1"/>
    <w:rsid w:val="4F517DD9"/>
    <w:rsid w:val="4FB22449"/>
    <w:rsid w:val="500F4FE6"/>
    <w:rsid w:val="509E7B61"/>
    <w:rsid w:val="509F195D"/>
    <w:rsid w:val="50E42BD2"/>
    <w:rsid w:val="50E464D7"/>
    <w:rsid w:val="515C1119"/>
    <w:rsid w:val="515F0C5A"/>
    <w:rsid w:val="51772F2C"/>
    <w:rsid w:val="520769E1"/>
    <w:rsid w:val="521B4242"/>
    <w:rsid w:val="52AD56F5"/>
    <w:rsid w:val="52C9339B"/>
    <w:rsid w:val="531D23A1"/>
    <w:rsid w:val="53494BCA"/>
    <w:rsid w:val="53F84596"/>
    <w:rsid w:val="5422409E"/>
    <w:rsid w:val="54CA79F7"/>
    <w:rsid w:val="55067C1C"/>
    <w:rsid w:val="5532202B"/>
    <w:rsid w:val="55571611"/>
    <w:rsid w:val="556B3D87"/>
    <w:rsid w:val="55835522"/>
    <w:rsid w:val="55B90088"/>
    <w:rsid w:val="55EA5025"/>
    <w:rsid w:val="55EE059B"/>
    <w:rsid w:val="55F1747D"/>
    <w:rsid w:val="55F51882"/>
    <w:rsid w:val="568D0C4B"/>
    <w:rsid w:val="56BF476E"/>
    <w:rsid w:val="5711469C"/>
    <w:rsid w:val="57250C0D"/>
    <w:rsid w:val="57366D72"/>
    <w:rsid w:val="5746303F"/>
    <w:rsid w:val="574F7113"/>
    <w:rsid w:val="57595C7F"/>
    <w:rsid w:val="577926DD"/>
    <w:rsid w:val="5801538D"/>
    <w:rsid w:val="584B29B9"/>
    <w:rsid w:val="587055C1"/>
    <w:rsid w:val="58D55DAD"/>
    <w:rsid w:val="58F6617C"/>
    <w:rsid w:val="58F91987"/>
    <w:rsid w:val="59584F72"/>
    <w:rsid w:val="59FB5488"/>
    <w:rsid w:val="5A5230EC"/>
    <w:rsid w:val="5AAF60DA"/>
    <w:rsid w:val="5AF72D0F"/>
    <w:rsid w:val="5C7D1A75"/>
    <w:rsid w:val="5CE64D75"/>
    <w:rsid w:val="5D0D4D49"/>
    <w:rsid w:val="5D0E3F66"/>
    <w:rsid w:val="5D4C131D"/>
    <w:rsid w:val="5DC5190C"/>
    <w:rsid w:val="5E7E7106"/>
    <w:rsid w:val="5ECC3A8A"/>
    <w:rsid w:val="5EF8779B"/>
    <w:rsid w:val="5F6726D7"/>
    <w:rsid w:val="5F833E60"/>
    <w:rsid w:val="60010E02"/>
    <w:rsid w:val="6023110A"/>
    <w:rsid w:val="604F1859"/>
    <w:rsid w:val="60650EE5"/>
    <w:rsid w:val="607A584C"/>
    <w:rsid w:val="60CC68B3"/>
    <w:rsid w:val="611107E4"/>
    <w:rsid w:val="614C440B"/>
    <w:rsid w:val="618C44D1"/>
    <w:rsid w:val="61AF6631"/>
    <w:rsid w:val="61B43727"/>
    <w:rsid w:val="621C5108"/>
    <w:rsid w:val="62265F2B"/>
    <w:rsid w:val="623847B1"/>
    <w:rsid w:val="624415FA"/>
    <w:rsid w:val="627E63BC"/>
    <w:rsid w:val="6288679D"/>
    <w:rsid w:val="63377888"/>
    <w:rsid w:val="63474E4F"/>
    <w:rsid w:val="64231C1D"/>
    <w:rsid w:val="64573E64"/>
    <w:rsid w:val="645A683E"/>
    <w:rsid w:val="645C0AC9"/>
    <w:rsid w:val="646C2B77"/>
    <w:rsid w:val="64FB3888"/>
    <w:rsid w:val="65541D2A"/>
    <w:rsid w:val="65C31778"/>
    <w:rsid w:val="65F73A8D"/>
    <w:rsid w:val="669458A1"/>
    <w:rsid w:val="66EA680C"/>
    <w:rsid w:val="672400FF"/>
    <w:rsid w:val="67511CF1"/>
    <w:rsid w:val="68E536F1"/>
    <w:rsid w:val="691A687B"/>
    <w:rsid w:val="69490D00"/>
    <w:rsid w:val="699B209F"/>
    <w:rsid w:val="69CB1BD7"/>
    <w:rsid w:val="69EF4DB2"/>
    <w:rsid w:val="6B394D5D"/>
    <w:rsid w:val="6B541194"/>
    <w:rsid w:val="6BDB23DF"/>
    <w:rsid w:val="6CBF73B4"/>
    <w:rsid w:val="6CD42EC4"/>
    <w:rsid w:val="6CFD3720"/>
    <w:rsid w:val="6D1E7961"/>
    <w:rsid w:val="6D5B74BE"/>
    <w:rsid w:val="6DA67F88"/>
    <w:rsid w:val="6E0A2AD0"/>
    <w:rsid w:val="6E0F798F"/>
    <w:rsid w:val="6E246056"/>
    <w:rsid w:val="6EA05FD0"/>
    <w:rsid w:val="6EF269E3"/>
    <w:rsid w:val="6F0435E1"/>
    <w:rsid w:val="6F5231A3"/>
    <w:rsid w:val="6F5E0D04"/>
    <w:rsid w:val="6F65559C"/>
    <w:rsid w:val="70380A8E"/>
    <w:rsid w:val="706B0AC3"/>
    <w:rsid w:val="70D61CD6"/>
    <w:rsid w:val="7151659E"/>
    <w:rsid w:val="71747B4D"/>
    <w:rsid w:val="71BB6FD0"/>
    <w:rsid w:val="71E42593"/>
    <w:rsid w:val="727E10E0"/>
    <w:rsid w:val="73287C41"/>
    <w:rsid w:val="736A15CD"/>
    <w:rsid w:val="73914970"/>
    <w:rsid w:val="73D06C8B"/>
    <w:rsid w:val="740B29AE"/>
    <w:rsid w:val="76292F80"/>
    <w:rsid w:val="76951DB3"/>
    <w:rsid w:val="769D2256"/>
    <w:rsid w:val="77526740"/>
    <w:rsid w:val="77617212"/>
    <w:rsid w:val="77A04F5A"/>
    <w:rsid w:val="7992077D"/>
    <w:rsid w:val="79E35B3B"/>
    <w:rsid w:val="7A00074C"/>
    <w:rsid w:val="7A3E5749"/>
    <w:rsid w:val="7AF62FBB"/>
    <w:rsid w:val="7AFF55DF"/>
    <w:rsid w:val="7C356C80"/>
    <w:rsid w:val="7C370E08"/>
    <w:rsid w:val="7CB9134C"/>
    <w:rsid w:val="7D2B2128"/>
    <w:rsid w:val="7D3B0CA8"/>
    <w:rsid w:val="7D476BDA"/>
    <w:rsid w:val="7D841289"/>
    <w:rsid w:val="7DCC258A"/>
    <w:rsid w:val="7DFA33C2"/>
    <w:rsid w:val="7E112F8A"/>
    <w:rsid w:val="7E641B62"/>
    <w:rsid w:val="7EE2693A"/>
    <w:rsid w:val="7F7B5A5B"/>
    <w:rsid w:val="7F9C6417"/>
    <w:rsid w:val="7FCC1975"/>
    <w:rsid w:val="7FEF2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hd w:val="pct10" w:color="auto" w:fill="FFFFFF"/>
      <w:spacing w:line="360" w:lineRule="auto"/>
      <w:jc w:val="left"/>
      <w:outlineLvl w:val="0"/>
    </w:pPr>
    <w:rPr>
      <w:rFonts w:ascii="Arial" w:hAnsi="Arial" w:eastAsia="黑体"/>
      <w:kern w:val="44"/>
      <w:sz w:val="32"/>
    </w:rPr>
  </w:style>
  <w:style w:type="paragraph" w:styleId="3">
    <w:name w:val="heading 2"/>
    <w:basedOn w:val="1"/>
    <w:next w:val="1"/>
    <w:autoRedefine/>
    <w:unhideWhenUsed/>
    <w:qFormat/>
    <w:uiPriority w:val="9"/>
    <w:pPr>
      <w:keepNext/>
      <w:keepLines/>
      <w:numPr>
        <w:ilvl w:val="1"/>
        <w:numId w:val="1"/>
      </w:numPr>
      <w:outlineLvl w:val="1"/>
    </w:pPr>
    <w:rPr>
      <w:rFonts w:ascii="Arial" w:hAnsi="Arial" w:eastAsia="黑体"/>
      <w:b/>
      <w:bCs/>
      <w:sz w:val="28"/>
      <w:szCs w:val="32"/>
    </w:rPr>
  </w:style>
  <w:style w:type="paragraph" w:styleId="4">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14">
    <w:name w:val="Default Paragraph Font"/>
    <w:autoRedefine/>
    <w:semiHidden/>
    <w:unhideWhenUsed/>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unhideWhenUsed/>
    <w:qFormat/>
    <w:uiPriority w:val="99"/>
    <w:pPr>
      <w:jc w:val="left"/>
    </w:pPr>
  </w:style>
  <w:style w:type="paragraph" w:styleId="6">
    <w:name w:val="Body Text"/>
    <w:basedOn w:val="1"/>
    <w:autoRedefine/>
    <w:qFormat/>
    <w:uiPriority w:val="0"/>
    <w:pPr>
      <w:shd w:val="clear" w:color="auto" w:fill="FFFFFF"/>
      <w:spacing w:before="600" w:line="282" w:lineRule="exact"/>
      <w:ind w:hanging="320"/>
      <w:jc w:val="left"/>
    </w:pPr>
    <w:rPr>
      <w:rFonts w:ascii="MingLiU" w:hAnsi="Calibri" w:eastAsia="MingLiU" w:cs="MingLiU"/>
      <w:sz w:val="18"/>
      <w:szCs w:val="18"/>
    </w:rPr>
  </w:style>
  <w:style w:type="paragraph" w:styleId="7">
    <w:name w:val="Balloon Text"/>
    <w:basedOn w:val="1"/>
    <w:link w:val="22"/>
    <w:autoRedefine/>
    <w:qFormat/>
    <w:uiPriority w:val="0"/>
    <w:rPr>
      <w:sz w:val="18"/>
      <w:szCs w:val="18"/>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qFormat/>
    <w:uiPriority w:val="39"/>
  </w:style>
  <w:style w:type="paragraph" w:styleId="11">
    <w:name w:val="Normal (Web)"/>
    <w:basedOn w:val="1"/>
    <w:autoRedefine/>
    <w:qFormat/>
    <w:uiPriority w:val="0"/>
    <w:pPr>
      <w:spacing w:beforeAutospacing="1" w:afterAutospacing="1"/>
      <w:jc w:val="left"/>
    </w:pPr>
    <w:rPr>
      <w:rFonts w:cs="Times New Roman"/>
      <w:kern w:val="0"/>
      <w:sz w:val="24"/>
    </w:rPr>
  </w:style>
  <w:style w:type="table" w:styleId="13">
    <w:name w:val="Table Grid"/>
    <w:basedOn w:val="1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rPr>
  </w:style>
  <w:style w:type="character" w:styleId="16">
    <w:name w:val="Hyperlink"/>
    <w:basedOn w:val="14"/>
    <w:autoRedefine/>
    <w:unhideWhenUsed/>
    <w:qFormat/>
    <w:uiPriority w:val="99"/>
    <w:rPr>
      <w:color w:val="0563C1" w:themeColor="hyperlink"/>
      <w:u w:val="single"/>
      <w14:textFill>
        <w14:solidFill>
          <w14:schemeClr w14:val="hlink"/>
        </w14:solidFill>
      </w14:textFill>
    </w:rPr>
  </w:style>
  <w:style w:type="paragraph" w:customStyle="1" w:styleId="17">
    <w:name w:val="段"/>
    <w:autoRedefine/>
    <w:qFormat/>
    <w:uiPriority w:val="0"/>
    <w:pPr>
      <w:autoSpaceDE w:val="0"/>
      <w:autoSpaceDN w:val="0"/>
      <w:ind w:firstLine="200" w:firstLineChars="200"/>
      <w:jc w:val="both"/>
    </w:pPr>
    <w:rPr>
      <w:rFonts w:ascii="宋体" w:hAnsi="Times New Roman" w:eastAsia="宋体" w:cs="Times New Roman"/>
      <w:lang w:val="en-US" w:eastAsia="zh-CN" w:bidi="ar-SA"/>
    </w:rPr>
  </w:style>
  <w:style w:type="paragraph" w:customStyle="1" w:styleId="18">
    <w:name w:val="标准文件_章标题"/>
    <w:next w:val="19"/>
    <w:autoRedefine/>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9">
    <w:name w:val="标准文件_段"/>
    <w:link w:val="2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一级条标题"/>
    <w:basedOn w:val="18"/>
    <w:next w:val="19"/>
    <w:autoRedefine/>
    <w:qFormat/>
    <w:uiPriority w:val="0"/>
    <w:pPr>
      <w:numPr>
        <w:ilvl w:val="2"/>
      </w:numPr>
      <w:spacing w:before="50" w:beforeLines="50" w:after="50" w:afterLines="50"/>
      <w:outlineLvl w:val="1"/>
    </w:pPr>
  </w:style>
  <w:style w:type="character" w:customStyle="1" w:styleId="21">
    <w:name w:val="页眉 字符"/>
    <w:basedOn w:val="14"/>
    <w:link w:val="9"/>
    <w:autoRedefine/>
    <w:qFormat/>
    <w:uiPriority w:val="0"/>
    <w:rPr>
      <w:rFonts w:asciiTheme="minorHAnsi" w:hAnsiTheme="minorHAnsi" w:eastAsiaTheme="minorEastAsia" w:cstheme="minorBidi"/>
      <w:kern w:val="2"/>
      <w:sz w:val="18"/>
      <w:szCs w:val="18"/>
    </w:rPr>
  </w:style>
  <w:style w:type="character" w:customStyle="1" w:styleId="22">
    <w:name w:val="批注框文本 字符"/>
    <w:basedOn w:val="14"/>
    <w:link w:val="7"/>
    <w:autoRedefine/>
    <w:qFormat/>
    <w:uiPriority w:val="0"/>
    <w:rPr>
      <w:rFonts w:asciiTheme="minorHAnsi" w:hAnsiTheme="minorHAnsi" w:eastAsiaTheme="minorEastAsia" w:cstheme="minorBidi"/>
      <w:kern w:val="2"/>
      <w:sz w:val="18"/>
      <w:szCs w:val="18"/>
    </w:rPr>
  </w:style>
  <w:style w:type="paragraph" w:customStyle="1" w:styleId="23">
    <w:name w:val="列表段落1"/>
    <w:basedOn w:val="1"/>
    <w:autoRedefine/>
    <w:qFormat/>
    <w:uiPriority w:val="99"/>
    <w:pPr>
      <w:ind w:firstLine="420" w:firstLineChars="200"/>
    </w:pPr>
  </w:style>
  <w:style w:type="character" w:customStyle="1" w:styleId="24">
    <w:name w:val="标准文件_段 Char"/>
    <w:link w:val="19"/>
    <w:autoRedefine/>
    <w:qFormat/>
    <w:uiPriority w:val="0"/>
    <w:rPr>
      <w:rFonts w:ascii="宋体"/>
      <w:sz w:val="21"/>
    </w:rPr>
  </w:style>
  <w:style w:type="paragraph" w:customStyle="1" w:styleId="25">
    <w:name w:val="Table Paragraph"/>
    <w:basedOn w:val="1"/>
    <w:autoRedefine/>
    <w:unhideWhenUsed/>
    <w:qFormat/>
    <w:uiPriority w:val="1"/>
    <w:rPr>
      <w:rFonts w:hint="eastAsia"/>
      <w:sz w:val="24"/>
    </w:rPr>
  </w:style>
  <w:style w:type="paragraph" w:customStyle="1" w:styleId="26">
    <w:name w:val="标准文件_二级条标题"/>
    <w:basedOn w:val="1"/>
    <w:next w:val="1"/>
    <w:autoRedefine/>
    <w:qFormat/>
    <w:uiPriority w:val="0"/>
    <w:pPr>
      <w:numPr>
        <w:ilvl w:val="3"/>
        <w:numId w:val="3"/>
      </w:numPr>
      <w:spacing w:before="50" w:beforeLines="50" w:after="50" w:afterLines="50"/>
      <w:ind w:left="1560"/>
      <w:jc w:val="left"/>
      <w:outlineLvl w:val="2"/>
    </w:pPr>
    <w:rPr>
      <w:rFonts w:hint="eastAsia" w:ascii="黑体" w:hAnsi="Times New Roman" w:eastAsia="黑体" w:cs="Times New Roman"/>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142BA7-2604-4F69-8904-9A0965D21638}">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770</Words>
  <Characters>4395</Characters>
  <Lines>36</Lines>
  <Paragraphs>10</Paragraphs>
  <TotalTime>48</TotalTime>
  <ScaleCrop>false</ScaleCrop>
  <LinksUpToDate>false</LinksUpToDate>
  <CharactersWithSpaces>5155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dc:creator>
  <cp:lastModifiedBy>66</cp:lastModifiedBy>
  <dcterms:modified xsi:type="dcterms:W3CDTF">2024-05-08T08:43:50Z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6EC28D3A32034B1397FE0DD7DBE1FD58</vt:lpwstr>
  </property>
</Properties>
</file>